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355A2">
      <w:pPr>
        <w:pStyle w:val="33"/>
        <w:framePr w:wrap="around" w:vAnchor="page" w:hAnchor="page" w:x="1143" w:y="654"/>
        <w:rPr>
          <w:rFonts w:ascii="Times New Roman"/>
        </w:rPr>
      </w:pPr>
    </w:p>
    <w:p w14:paraId="2868E90A">
      <w:pPr>
        <w:pStyle w:val="33"/>
        <w:framePr w:wrap="around" w:vAnchor="page" w:hAnchor="page" w:x="1143" w:y="654"/>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16177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71" w:type="dxa"/>
            <w:tcBorders>
              <w:top w:val="nil"/>
              <w:left w:val="nil"/>
              <w:bottom w:val="nil"/>
              <w:right w:val="nil"/>
            </w:tcBorders>
          </w:tcPr>
          <w:p w14:paraId="5BC0FF85">
            <w:pPr>
              <w:pStyle w:val="33"/>
              <w:framePr w:wrap="around" w:vAnchor="page" w:hAnchor="page" w:x="1143" w:y="654"/>
              <w:rPr>
                <w:rFonts w:ascii="Times New Roman"/>
              </w:rPr>
            </w:pPr>
            <w:r>
              <w:rPr>
                <w:rFonts w:ascii="Times New Roman"/>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r>
              <w:rPr>
                <w:rFonts w:ascii="Times New Roman"/>
              </w:rPr>
              <w:fldChar w:fldCharType="begin">
                <w:ffData>
                  <w:name w:val="BAH"/>
                  <w:enabled/>
                  <w:calcOnExit w:val="0"/>
                  <w:textInput/>
                </w:ffData>
              </w:fldChar>
            </w:r>
            <w:r>
              <w:rPr>
                <w:rFonts w:ascii="Times New Roman"/>
              </w:rPr>
              <w:instrText xml:space="preserve">FORMTEXT</w:instrText>
            </w:r>
            <w:r>
              <w:rPr>
                <w:rFonts w:ascii="Times New Roman"/>
              </w:rPr>
              <w:fldChar w:fldCharType="separate"/>
            </w:r>
            <w:r>
              <w:rPr>
                <w:rFonts w:ascii="Times New Roman"/>
              </w:rPr>
              <w:t>     </w:t>
            </w:r>
            <w:r>
              <w:rPr>
                <w:rFonts w:ascii="Times New Roman"/>
              </w:rPr>
              <w:fldChar w:fldCharType="end"/>
            </w:r>
          </w:p>
        </w:tc>
      </w:tr>
    </w:tbl>
    <w:p w14:paraId="1D5C7959">
      <w:pPr>
        <w:pStyle w:val="34"/>
        <w:framePr w:w="3241" w:wrap="around" w:vAnchor="page" w:hAnchor="page" w:x="7133" w:y="871"/>
        <w:jc w:val="both"/>
      </w:pPr>
      <w:r>
        <w:rPr>
          <w:rFonts w:hint="eastAsia"/>
        </w:rPr>
        <w:t>G</w:t>
      </w:r>
      <w:r>
        <w:fldChar w:fldCharType="begin">
          <w:ffData>
            <w:name w:val="c1"/>
            <w:enabled/>
            <w:calcOnExit w:val="0"/>
            <w:textInput>
              <w:maxLength w:val="2"/>
            </w:textInput>
          </w:ffData>
        </w:fldChar>
      </w:r>
      <w:bookmarkStart w:id="0" w:name="c1"/>
      <w:r>
        <w:instrText xml:space="preserve">FORMTEXT</w:instrText>
      </w:r>
      <w:r>
        <w:fldChar w:fldCharType="separate"/>
      </w:r>
      <w:r>
        <w:t>T</w:t>
      </w:r>
      <w:r>
        <w:fldChar w:fldCharType="end"/>
      </w:r>
      <w:bookmarkEnd w:id="0"/>
      <w:r>
        <w:rPr>
          <w:rFonts w:hint="eastAsia"/>
        </w:rPr>
        <w:t>J</w:t>
      </w:r>
    </w:p>
    <w:p w14:paraId="7FA81ECC">
      <w:pPr>
        <w:pStyle w:val="82"/>
        <w:framePr w:wrap="around"/>
        <w:rPr>
          <w:rFonts w:ascii="Times New Roman" w:hAnsi="Times New Roman"/>
        </w:rPr>
      </w:pPr>
      <w:r>
        <w:rPr>
          <w:rFonts w:hint="eastAsia" w:ascii="Times New Roman" w:hAnsi="Times New Roman"/>
        </w:rPr>
        <w:t>铁路专用产品检验检测细则</w:t>
      </w:r>
    </w:p>
    <w:p w14:paraId="6FB285A5">
      <w:pPr>
        <w:pStyle w:val="36"/>
        <w:framePr w:wrap="around"/>
        <w:rPr>
          <w:rFonts w:hint="eastAsia" w:ascii="黑体" w:hAnsi="黑体" w:eastAsia="黑体" w:cs="黑体"/>
        </w:rPr>
      </w:pPr>
      <w:r>
        <w:rPr>
          <w:rFonts w:hint="eastAsia" w:ascii="黑体" w:hAnsi="黑体" w:eastAsia="黑体" w:cs="黑体"/>
        </w:rPr>
        <w:t>GTJ XXXX—XXXX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C709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2EBE0FCA">
            <w:pPr>
              <w:pStyle w:val="37"/>
              <w:framePr w:wrap="around"/>
              <w:widowControl w:val="0"/>
              <w:rPr>
                <w:rFonts w:ascii="Times New Roman"/>
              </w:rPr>
            </w:pPr>
            <w:r>
              <w:rPr>
                <w:rFonts w:ascii="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-205105</wp:posOffset>
                      </wp:positionH>
                      <wp:positionV relativeFrom="paragraph">
                        <wp:posOffset>589280</wp:posOffset>
                      </wp:positionV>
                      <wp:extent cx="6121400" cy="0"/>
                      <wp:effectExtent l="0" t="0" r="0" b="0"/>
                      <wp:wrapNone/>
                      <wp:docPr id="408"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15pt;margin-top:46.4pt;height:0pt;width:482pt;z-index:251663360;mso-width-relative:page;mso-height-relative:page;" filled="f" stroked="t" coordsize="21600,21600" o:gfxdata="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KhSeNYAAAAJAQAA&#10;DwAAAAAAAAABACAAAAAiAAAAZHJzL2Rvd25yZXYueG1sUEsBAhQAFAAAAAgAh07iQJhdgaHiAQAA&#10;0gMAAA4AAAAAAAAAAQAgAAAAJQEAAGRycy9lMm9Eb2MueG1sUEsFBgAAAAAGAAYAWQEAAHkFAAAA&#10;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5168;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rPr>
              <w:fldChar w:fldCharType="begin">
                <w:ffData>
                  <w:name w:val="DT"/>
                  <w:enabled/>
                  <w:calcOnExit w:val="0"/>
                  <w:textInput/>
                </w:ffData>
              </w:fldChar>
            </w:r>
            <w:bookmarkStart w:id="1" w:name="DT"/>
            <w:r>
              <w:rPr>
                <w:rFonts w:ascii="Times New Roman"/>
              </w:rPr>
              <w:instrText xml:space="preserve">FORMTEXT</w:instrText>
            </w:r>
            <w:r>
              <w:rPr>
                <w:rFonts w:ascii="Times New Roman"/>
              </w:rPr>
              <w:fldChar w:fldCharType="separate"/>
            </w:r>
            <w:r>
              <w:rPr>
                <w:rFonts w:ascii="Times New Roman"/>
              </w:rPr>
              <w:t>     </w:t>
            </w:r>
            <w:r>
              <w:rPr>
                <w:rFonts w:ascii="Times New Roman"/>
              </w:rPr>
              <w:fldChar w:fldCharType="end"/>
            </w:r>
            <w:bookmarkEnd w:id="1"/>
          </w:p>
        </w:tc>
      </w:tr>
    </w:tbl>
    <w:p w14:paraId="15F12305">
      <w:pPr>
        <w:pStyle w:val="36"/>
        <w:framePr w:wrap="around"/>
        <w:rPr>
          <w:rFonts w:ascii="Times New Roman"/>
        </w:rPr>
      </w:pPr>
    </w:p>
    <w:p w14:paraId="5ED931C9">
      <w:pPr>
        <w:pStyle w:val="43"/>
        <w:framePr w:wrap="around" w:hAnchor="page" w:x="1306" w:y="13591"/>
      </w:pPr>
      <w:bookmarkStart w:id="2" w:name="FY"/>
      <w:r>
        <w:rPr>
          <w:rFonts w:ascii="黑体" w:hAnsi="黑体"/>
        </w:rPr>
        <w:t>XXXX-XX-XX</w:t>
      </w:r>
      <w:bookmarkEnd w:id="2"/>
      <w:r>
        <w:rPr>
          <w:rFonts w:hint="eastAsia"/>
        </w:rPr>
        <w:t>发布</w:t>
      </w:r>
    </w:p>
    <w:p w14:paraId="4D57C3FC">
      <w:pPr>
        <w:pStyle w:val="45"/>
        <w:framePr w:wrap="around" w:hAnchor="page" w:x="6931" w:y="13696"/>
        <w:ind w:right="280"/>
      </w:pPr>
      <w:bookmarkStart w:id="3" w:name="SY"/>
      <w:r>
        <w:rPr>
          <w:rFonts w:ascii="黑体" w:hAnsi="黑体"/>
        </w:rPr>
        <w:t>XXXX-XX-XX</w:t>
      </w:r>
      <w:bookmarkEnd w:id="3"/>
      <w:r>
        <w:rPr>
          <w:rFonts w:hint="eastAsia"/>
        </w:rPr>
        <w:t>实施</w:t>
      </w:r>
    </w:p>
    <w:p w14:paraId="3B067DD4">
      <w:pPr>
        <w:pStyle w:val="83"/>
        <w:framePr w:wrap="around"/>
        <w:rPr>
          <w:rFonts w:ascii="Times New Roman"/>
          <w:highlight w:val="yellow"/>
        </w:rPr>
      </w:pPr>
      <w:r>
        <w:rPr>
          <w:rFonts w:ascii="Times New Roman"/>
        </w:rPr>
        <w:fldChar w:fldCharType="begin">
          <w:ffData>
            <w:name w:val="fm"/>
            <w:enabled/>
            <w:calcOnExit w:val="0"/>
            <w:textInput/>
          </w:ffData>
        </w:fldChar>
      </w:r>
      <w:bookmarkStart w:id="4" w:name="fm"/>
      <w:r>
        <w:rPr>
          <w:rFonts w:ascii="Times New Roman"/>
        </w:rPr>
        <w:instrText xml:space="preserve">FORMTEXT</w:instrText>
      </w:r>
      <w:r>
        <w:rPr>
          <w:rFonts w:ascii="Times New Roman"/>
        </w:rPr>
        <w:fldChar w:fldCharType="separate"/>
      </w:r>
      <w:r>
        <w:rPr>
          <w:rFonts w:hint="eastAsia" w:ascii="Times New Roman"/>
        </w:rPr>
        <w:t>国家铁路局</w:t>
      </w:r>
      <w:r>
        <w:rPr>
          <w:rFonts w:ascii="Times New Roman"/>
        </w:rPr>
        <w:fldChar w:fldCharType="end"/>
      </w:r>
      <w:bookmarkEnd w:id="4"/>
      <w:r>
        <w:rPr>
          <w:rFonts w:ascii="Times New Roman"/>
        </w:rPr>
        <w:t>   </w:t>
      </w:r>
      <w:r>
        <w:rPr>
          <w:rStyle w:val="84"/>
          <w:rFonts w:hint="eastAsia" w:ascii="Times New Roman"/>
        </w:rPr>
        <w:t>发布</w:t>
      </w:r>
    </w:p>
    <w:p w14:paraId="0315FB58">
      <w:pPr>
        <w:pStyle w:val="38"/>
        <w:framePr w:h="7701" w:hRule="exact" w:wrap="around" w:x="1441" w:y="6395"/>
        <w:adjustRightInd w:val="0"/>
        <w:snapToGrid w:val="0"/>
        <w:spacing w:line="240" w:lineRule="auto"/>
        <w:rPr>
          <w:rFonts w:ascii="Times New Roman"/>
        </w:rPr>
      </w:pPr>
      <w:r>
        <w:rPr>
          <w:rFonts w:hint="eastAsia" w:ascii="Times New Roman"/>
        </w:rPr>
        <w:t>铁路车站电码化设备</w:t>
      </w:r>
    </w:p>
    <w:p w14:paraId="7D5823D3">
      <w:pPr>
        <w:pStyle w:val="38"/>
        <w:framePr w:h="7701" w:hRule="exact" w:wrap="around" w:x="1441" w:y="6395"/>
        <w:adjustRightInd w:val="0"/>
        <w:snapToGrid w:val="0"/>
        <w:spacing w:line="240" w:lineRule="auto"/>
        <w:rPr>
          <w:rFonts w:ascii="Times New Roman"/>
        </w:rPr>
      </w:pPr>
      <w:r>
        <w:rPr>
          <w:rFonts w:hint="eastAsia" w:ascii="Times New Roman"/>
        </w:rPr>
        <w:t>第4部分：元器件</w:t>
      </w:r>
    </w:p>
    <w:p w14:paraId="516F3E40">
      <w:pPr>
        <w:pStyle w:val="39"/>
        <w:framePr w:h="7701" w:hRule="exact" w:wrap="around" w:x="1441" w:y="6395"/>
        <w:spacing w:before="0"/>
      </w:pPr>
      <w:r>
        <w:t>Coding equipment in railway station</w:t>
      </w:r>
      <w:r>
        <w:rPr>
          <w:rFonts w:ascii="宋体" w:hAnsi="宋体"/>
        </w:rPr>
        <w:t>—</w:t>
      </w:r>
    </w:p>
    <w:p w14:paraId="39635316">
      <w:pPr>
        <w:pStyle w:val="39"/>
        <w:framePr w:h="7701" w:hRule="exact" w:wrap="around" w:x="1441" w:y="6395"/>
        <w:spacing w:before="0"/>
      </w:pPr>
      <w:r>
        <w:t>Part 4: Component</w:t>
      </w:r>
    </w:p>
    <w:p w14:paraId="55A90764">
      <w:pPr>
        <w:pStyle w:val="39"/>
        <w:framePr w:h="7701" w:hRule="exact" w:wrap="around" w:x="1441" w:y="6395"/>
        <w:spacing w:befor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征求意见稿</w:t>
      </w:r>
    </w:p>
    <w:p w14:paraId="40DB042D">
      <w:pPr>
        <w:pStyle w:val="39"/>
        <w:framePr w:h="7701" w:hRule="exact" w:wrap="around" w:x="1441" w:y="6395"/>
        <w:spacing w:before="0"/>
        <w:rPr>
          <w:rFonts w:hint="eastAsia" w:ascii="宋体" w:hAnsi="宋体" w:eastAsia="宋体" w:cs="宋体"/>
          <w:sz w:val="24"/>
          <w:szCs w:val="24"/>
          <w:lang w:val="en-US" w:eastAsia="zh-CN"/>
        </w:rPr>
      </w:pPr>
      <w:r>
        <w:rPr>
          <w:rFonts w:hint="eastAsia" w:ascii="宋体" w:hAnsi="宋体" w:eastAsia="宋体" w:cs="宋体"/>
          <w:color w:val="000000"/>
          <w:kern w:val="0"/>
          <w:position w:val="10"/>
          <w:sz w:val="24"/>
          <w:szCs w:val="24"/>
        </w:rPr>
        <w:t>（本稿完成日期：2025年</w:t>
      </w:r>
      <w:r>
        <w:rPr>
          <w:rFonts w:hint="eastAsia" w:ascii="宋体" w:hAnsi="宋体" w:eastAsia="宋体" w:cs="宋体"/>
          <w:color w:val="000000"/>
          <w:kern w:val="0"/>
          <w:position w:val="10"/>
          <w:sz w:val="24"/>
          <w:szCs w:val="24"/>
          <w:lang w:val="en-US" w:eastAsia="zh-CN"/>
        </w:rPr>
        <w:t>11</w:t>
      </w:r>
      <w:r>
        <w:rPr>
          <w:rFonts w:hint="eastAsia" w:ascii="宋体" w:hAnsi="宋体" w:eastAsia="宋体" w:cs="宋体"/>
          <w:color w:val="000000"/>
          <w:kern w:val="0"/>
          <w:position w:val="10"/>
          <w:sz w:val="24"/>
          <w:szCs w:val="24"/>
        </w:rPr>
        <w:t>月）</w:t>
      </w:r>
    </w:p>
    <w:p w14:paraId="59F8A89D">
      <w:pPr>
        <w:pStyle w:val="39"/>
        <w:framePr w:h="7701" w:hRule="exact" w:wrap="around" w:x="1441" w:y="6395"/>
        <w:spacing w:before="0"/>
      </w:pPr>
    </w:p>
    <w:p w14:paraId="32774018">
      <w:pPr>
        <w:pStyle w:val="39"/>
        <w:framePr w:h="7701" w:hRule="exact" w:wrap="around" w:x="1441" w:y="6395"/>
        <w:spacing w:before="0"/>
        <w:rPr>
          <w:highlight w:val="yellow"/>
        </w:rPr>
      </w:pP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69F4B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2" w:hRule="atLeast"/>
        </w:trPr>
        <w:tc>
          <w:tcPr>
            <w:tcW w:w="9855" w:type="dxa"/>
            <w:tcBorders>
              <w:top w:val="nil"/>
              <w:left w:val="nil"/>
              <w:bottom w:val="nil"/>
              <w:right w:val="nil"/>
            </w:tcBorders>
          </w:tcPr>
          <w:p w14:paraId="23E2AF0A">
            <w:pPr>
              <w:pStyle w:val="42"/>
              <w:framePr w:wrap="around" w:x="1441" w:y="6395"/>
              <w:rPr>
                <w:color w:val="auto"/>
                <w:highlight w:val="yellow"/>
              </w:rPr>
            </w:pPr>
          </w:p>
          <w:p w14:paraId="4A61CFB3">
            <w:pPr>
              <w:pStyle w:val="42"/>
              <w:framePr w:wrap="around" w:x="1441" w:y="6395"/>
              <w:rPr>
                <w:color w:val="auto"/>
                <w:highlight w:val="yellow"/>
              </w:rPr>
            </w:pPr>
            <w:r>
              <w:rPr>
                <w:sz w:val="24"/>
              </w:rPr>
              <mc:AlternateContent>
                <mc:Choice Requires="wps">
                  <w:drawing>
                    <wp:anchor distT="0" distB="0" distL="114300" distR="114300" simplePos="0" relativeHeight="251664384" behindDoc="0" locked="0" layoutInCell="1" allowOverlap="1">
                      <wp:simplePos x="0" y="0"/>
                      <wp:positionH relativeFrom="column">
                        <wp:posOffset>-26035</wp:posOffset>
                      </wp:positionH>
                      <wp:positionV relativeFrom="paragraph">
                        <wp:posOffset>2166620</wp:posOffset>
                      </wp:positionV>
                      <wp:extent cx="5999480" cy="0"/>
                      <wp:effectExtent l="0" t="6350" r="0" b="6350"/>
                      <wp:wrapNone/>
                      <wp:docPr id="1" name="直接连接符 1"/>
                      <wp:cNvGraphicFramePr/>
                      <a:graphic xmlns:a="http://schemas.openxmlformats.org/drawingml/2006/main">
                        <a:graphicData uri="http://schemas.microsoft.com/office/word/2010/wordprocessingShape">
                          <wps:wsp>
                            <wps:cNvCnPr/>
                            <wps:spPr>
                              <a:xfrm>
                                <a:off x="887730" y="9120505"/>
                                <a:ext cx="599948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05pt;margin-top:170.6pt;height:0pt;width:472.4pt;z-index:251664384;mso-width-relative:page;mso-height-relative:page;" filled="f" stroked="t" coordsize="21600,21600" o:gfxdata="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0UdE12QAAAAoBAAAPAAAAAAAAAAEAIAAAACIAAABkcnMvZG93bnJldi54bWxQSwECFAAU&#10;AAAACACHTuJAZSs8YfABAAC9AwAADgAAAAAAAAABACAAAAAoAQAAZHJzL2Uyb0RvYy54bWxQSwUG&#10;AAAAAAYABgBZAQAAigUAAAAA&#10;">
                      <v:fill on="f" focussize="0,0"/>
                      <v:stroke weight="1pt" color="#000000 [3213]" miterlimit="8" joinstyle="miter"/>
                      <v:imagedata o:title=""/>
                      <o:lock v:ext="edit" aspectratio="f"/>
                    </v:line>
                  </w:pict>
                </mc:Fallback>
              </mc:AlternateContent>
            </w:r>
          </w:p>
        </w:tc>
        <w:tc>
          <w:tcPr>
            <w:tcW w:w="9855" w:type="dxa"/>
            <w:tcBorders>
              <w:top w:val="nil"/>
              <w:left w:val="nil"/>
              <w:bottom w:val="nil"/>
              <w:right w:val="nil"/>
            </w:tcBorders>
          </w:tcPr>
          <w:p w14:paraId="2569E14B">
            <w:pPr>
              <w:pStyle w:val="41"/>
              <w:framePr w:wrap="around" w:x="1441" w:y="6395"/>
              <w:rPr>
                <w:color w:val="auto"/>
              </w:rPr>
            </w:pPr>
            <w:bookmarkStart w:id="175" w:name="_GoBack"/>
            <w:bookmarkEnd w:id="175"/>
            <w:r>
              <w:rPr>
                <w:color w:val="auto"/>
                <w:highlight w:val="yellow"/>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auto"/>
                <w:highlight w:val="yellow"/>
              </w:rPr>
              <w:instrText xml:space="preserve"> </w:instrText>
            </w:r>
            <w:bookmarkStart w:id="5" w:name="LB"/>
            <w:r>
              <w:rPr>
                <w:color w:val="auto"/>
                <w:highlight w:val="yellow"/>
              </w:rPr>
              <w:instrText xml:space="preserve">FORMDROPDOWN </w:instrText>
            </w:r>
            <w:r>
              <w:rPr>
                <w:color w:val="auto"/>
                <w:highlight w:val="yellow"/>
              </w:rPr>
              <w:fldChar w:fldCharType="separate"/>
            </w:r>
            <w:r>
              <w:rPr>
                <w:color w:val="auto"/>
                <w:highlight w:val="yellow"/>
              </w:rPr>
              <w:fldChar w:fldCharType="end"/>
            </w:r>
            <w:bookmarkEnd w:id="5"/>
            <w:r>
              <w:rPr>
                <w:color w:val="auto"/>
                <w:highlight w:val="yellow"/>
              </w:rPr>
              <mc:AlternateContent>
                <mc:Choice Requires="wps">
                  <w:drawing>
                    <wp:anchor distT="0" distB="0" distL="114300" distR="114300" simplePos="0" relativeHeight="251665408"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1072;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auto"/>
                <w:highlight w:val="yellow"/>
              </w:rPr>
              <mc:AlternateContent>
                <mc:Choice Requires="wps">
                  <w:drawing>
                    <wp:anchor distT="0" distB="0" distL="114300" distR="114300" simplePos="0" relativeHeight="251664384"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2096;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2037D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6C181419">
            <w:pPr>
              <w:pStyle w:val="42"/>
              <w:framePr w:wrap="around" w:x="1441" w:y="6395"/>
              <w:rPr>
                <w:color w:val="auto"/>
              </w:rPr>
            </w:pPr>
          </w:p>
        </w:tc>
        <w:tc>
          <w:tcPr>
            <w:tcW w:w="9855" w:type="dxa"/>
            <w:tcBorders>
              <w:top w:val="nil"/>
              <w:left w:val="nil"/>
              <w:bottom w:val="nil"/>
              <w:right w:val="nil"/>
            </w:tcBorders>
          </w:tcPr>
          <w:p w14:paraId="72C7FEC9">
            <w:pPr>
              <w:pStyle w:val="42"/>
              <w:framePr w:wrap="around" w:x="1441" w:y="6395"/>
              <w:rPr>
                <w:color w:val="auto"/>
              </w:rPr>
            </w:pPr>
            <w:r>
              <w:rPr>
                <w:color w:val="auto"/>
              </w:rPr>
              <w:fldChar w:fldCharType="begin">
                <w:ffData>
                  <w:name w:val="WCRQ"/>
                  <w:enabled/>
                  <w:calcOnExit w:val="0"/>
                  <w:textInput>
                    <w:default w:val="（本稿完成日期：2024年9月10日）"/>
                  </w:textInput>
                </w:ffData>
              </w:fldChar>
            </w:r>
            <w:r>
              <w:rPr>
                <w:color w:val="auto"/>
              </w:rPr>
              <w:instrText xml:space="preserve"> </w:instrText>
            </w:r>
            <w:bookmarkStart w:id="6" w:name="WCRQ"/>
            <w:r>
              <w:rPr>
                <w:color w:val="auto"/>
              </w:rPr>
              <w:instrText xml:space="preserve">FORMTEXT </w:instrText>
            </w:r>
            <w:r>
              <w:rPr>
                <w:color w:val="auto"/>
              </w:rPr>
              <w:fldChar w:fldCharType="separate"/>
            </w:r>
            <w:r>
              <w:rPr>
                <w:rFonts w:hint="eastAsia"/>
                <w:color w:val="auto"/>
              </w:rPr>
              <w:t>（本稿完成日期：2024年9月10日）</w:t>
            </w:r>
            <w:r>
              <w:rPr>
                <w:color w:val="auto"/>
              </w:rPr>
              <w:fldChar w:fldCharType="end"/>
            </w:r>
            <w:bookmarkEnd w:id="6"/>
          </w:p>
          <w:p w14:paraId="7D866106">
            <w:pPr>
              <w:pStyle w:val="42"/>
              <w:framePr w:wrap="around" w:x="1441" w:y="6395"/>
              <w:rPr>
                <w:color w:val="auto"/>
              </w:rPr>
            </w:pPr>
          </w:p>
          <w:p w14:paraId="274514B3">
            <w:pPr>
              <w:pStyle w:val="42"/>
              <w:framePr w:wrap="around" w:x="1441" w:y="6395"/>
              <w:rPr>
                <w:color w:val="auto"/>
              </w:rPr>
            </w:pPr>
          </w:p>
        </w:tc>
      </w:tr>
    </w:tbl>
    <w:p w14:paraId="63C8D359">
      <w:pPr>
        <w:pStyle w:val="48"/>
        <w:tabs>
          <w:tab w:val="center" w:pos="4677"/>
          <w:tab w:val="left" w:pos="7926"/>
          <w:tab w:val="right" w:pos="9354"/>
        </w:tabs>
        <w:jc w:val="left"/>
        <w:sectPr>
          <w:footerReference r:id="rId6" w:type="first"/>
          <w:headerReference r:id="rId3" w:type="default"/>
          <w:footerReference r:id="rId4" w:type="default"/>
          <w:footerReference r:id="rId5" w:type="even"/>
          <w:pgSz w:w="11906" w:h="16838"/>
          <w:pgMar w:top="567" w:right="1134" w:bottom="1134" w:left="1418" w:header="1418" w:footer="1134" w:gutter="0"/>
          <w:pgNumType w:fmt="upperRoman" w:start="1"/>
          <w:cols w:space="0" w:num="1"/>
          <w:formProt w:val="0"/>
          <w:titlePg/>
          <w:docGrid w:type="lines" w:linePitch="312" w:charSpace="0"/>
        </w:sectPr>
      </w:pPr>
      <w:bookmarkStart w:id="7" w:name="_Toc154136997"/>
      <w:bookmarkStart w:id="8" w:name="_Toc165968529"/>
      <w:bookmarkStart w:id="9" w:name="_Toc8773"/>
      <w:bookmarkStart w:id="10" w:name="_Toc22633"/>
    </w:p>
    <w:p w14:paraId="47CA7EAA">
      <w:pPr>
        <w:pStyle w:val="48"/>
        <w:tabs>
          <w:tab w:val="center" w:pos="4677"/>
          <w:tab w:val="left" w:pos="7926"/>
          <w:tab w:val="right" w:pos="9354"/>
        </w:tabs>
        <w:jc w:val="left"/>
      </w:pPr>
      <w:r>
        <w:tab/>
      </w:r>
      <w:r>
        <w:t>目</w:t>
      </w:r>
      <w:r>
        <w:rPr>
          <w:rFonts w:eastAsia="MS Mincho"/>
        </w:rPr>
        <w:t>  </w:t>
      </w:r>
      <w:r>
        <w:t>次</w:t>
      </w:r>
      <w:bookmarkEnd w:id="7"/>
      <w:bookmarkEnd w:id="8"/>
      <w:r>
        <w:t xml:space="preserve"> </w:t>
      </w:r>
      <w:bookmarkEnd w:id="9"/>
      <w:r>
        <w:fldChar w:fldCharType="begin"/>
      </w:r>
      <w:r>
        <w:instrText xml:space="preserve"> TOC \o "1-1" \h \z \u </w:instrText>
      </w:r>
      <w:r>
        <w:fldChar w:fldCharType="separate"/>
      </w:r>
      <w:r>
        <w:tab/>
      </w:r>
      <w:r>
        <w:tab/>
      </w:r>
    </w:p>
    <w:sdt>
      <w:sdtPr>
        <w:rPr>
          <w:sz w:val="21"/>
        </w:rPr>
        <w:id w:val="147477460"/>
        <w:docPartObj>
          <w:docPartGallery w:val="Table of Contents"/>
          <w:docPartUnique/>
        </w:docPartObj>
      </w:sdtPr>
      <w:sdtEndPr>
        <w:rPr>
          <w:sz w:val="18"/>
        </w:rPr>
      </w:sdtEndPr>
      <w:sdtContent>
        <w:p w14:paraId="3E6A0B96"/>
        <w:p w14:paraId="054B4C71">
          <w:pPr>
            <w:pStyle w:val="18"/>
            <w:tabs>
              <w:tab w:val="right" w:leader="dot" w:pos="9354"/>
              <w:tab w:val="clear" w:pos="0"/>
              <w:tab w:val="clear" w:pos="9242"/>
            </w:tabs>
            <w:spacing w:line="360" w:lineRule="exact"/>
            <w:rPr>
              <w:rFonts w:asciiTheme="minorHAnsi" w:hAnsiTheme="minorHAnsi"/>
              <w:kern w:val="0"/>
              <w:sz w:val="22"/>
              <w:szCs w:val="22"/>
            </w:rPr>
          </w:pPr>
          <w:r>
            <w:rPr>
              <w:sz w:val="21"/>
            </w:rPr>
            <w:fldChar w:fldCharType="begin"/>
          </w:r>
          <w:r>
            <w:rPr>
              <w:sz w:val="21"/>
            </w:rPr>
            <w:instrText xml:space="preserve">TOC \o "1-3" \h \u </w:instrText>
          </w:r>
          <w:r>
            <w:rPr>
              <w:sz w:val="21"/>
            </w:rPr>
            <w:fldChar w:fldCharType="separate"/>
          </w:r>
          <w:r>
            <w:fldChar w:fldCharType="begin"/>
          </w:r>
          <w:r>
            <w:instrText xml:space="preserve"> HYPERLINK \l "_Toc18691" </w:instrText>
          </w:r>
          <w:r>
            <w:fldChar w:fldCharType="separate"/>
          </w:r>
          <w:r>
            <w:rPr>
              <w:rFonts w:hint="eastAsia" w:asciiTheme="minorHAnsi" w:hAnsiTheme="minorHAnsi"/>
              <w:kern w:val="0"/>
              <w:sz w:val="22"/>
              <w:szCs w:val="22"/>
            </w:rPr>
            <w:t>前  </w:t>
          </w:r>
          <w:r>
            <w:rPr>
              <w:rFonts w:hint="eastAsia" w:ascii="宋体" w:hAnsi="宋体" w:eastAsia="宋体" w:cs="宋体"/>
              <w:kern w:val="0"/>
              <w:sz w:val="22"/>
              <w:szCs w:val="22"/>
            </w:rPr>
            <w:t>言</w:t>
          </w:r>
          <w:r>
            <w:rPr>
              <w:rFonts w:hint="eastAsia" w:ascii="宋体" w:hAnsi="宋体" w:eastAsia="宋体" w:cs="宋体"/>
              <w:kern w:val="0"/>
              <w:sz w:val="22"/>
              <w:szCs w:val="22"/>
            </w:rPr>
            <w:tab/>
          </w:r>
          <w:r>
            <w:rPr>
              <w:rFonts w:hint="eastAsia" w:ascii="宋体" w:hAnsi="宋体" w:eastAsia="宋体" w:cs="宋体"/>
              <w:kern w:val="0"/>
              <w:sz w:val="22"/>
              <w:szCs w:val="22"/>
            </w:rPr>
            <w:fldChar w:fldCharType="end"/>
          </w:r>
          <w:r>
            <w:rPr>
              <w:rFonts w:hint="eastAsia" w:asciiTheme="minorHAnsi" w:hAnsiTheme="minorHAnsi"/>
              <w:kern w:val="0"/>
              <w:sz w:val="22"/>
              <w:szCs w:val="22"/>
            </w:rPr>
            <w:t>Ⅱ</w:t>
          </w:r>
        </w:p>
        <w:p w14:paraId="34C04173">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"_Toc26945" </w:instrText>
          </w:r>
          <w:r>
            <w:fldChar w:fldCharType="separate"/>
          </w:r>
          <w:r>
            <w:rPr>
              <w:rFonts w:hint="eastAsia" w:asciiTheme="minorEastAsia" w:hAnsiTheme="minorEastAsia" w:cstheme="minorEastAsia"/>
              <w:sz w:val="21"/>
              <w:szCs w:val="21"/>
            </w:rPr>
            <w:t>1 范围</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_Toc26945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4E9BADAC">
          <w:pPr>
            <w:pStyle w:val="21"/>
            <w:tabs>
              <w:tab w:val="right" w:leader="dot" w:pos="9354"/>
              <w:tab w:val="clear" w:pos="0"/>
            </w:tabs>
            <w:spacing w:after="0" w:line="360" w:lineRule="exact"/>
            <w:ind w:left="0"/>
          </w:pPr>
          <w:bookmarkStart w:id="11" w:name="_Hlk185154018"/>
          <w:r>
            <w:fldChar w:fldCharType="begin"/>
          </w:r>
          <w:r>
            <w:instrText xml:space="preserve"> HYPERLINK \l "_Toc14973" </w:instrText>
          </w:r>
          <w:r>
            <w:fldChar w:fldCharType="separate"/>
          </w:r>
          <w:r>
            <w:rPr>
              <w:rFonts w:asciiTheme="minorEastAsia" w:hAnsiTheme="minorEastAsia" w:cstheme="minorEastAsia"/>
              <w:sz w:val="21"/>
              <w:szCs w:val="21"/>
            </w:rPr>
            <w:t>2</w:t>
          </w:r>
          <w:r>
            <w:rPr>
              <w:rFonts w:hint="eastAsia" w:asciiTheme="minorEastAsia" w:hAnsiTheme="minorEastAsia" w:cstheme="minorEastAsia"/>
              <w:sz w:val="21"/>
              <w:szCs w:val="21"/>
            </w:rPr>
            <w:t xml:space="preserve"> 规范性引用文件</w:t>
          </w:r>
          <w:r>
            <w:rPr>
              <w:rFonts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asciiTheme="minorEastAsia" w:hAnsiTheme="minorEastAsia" w:cstheme="minorEastAsia"/>
              <w:sz w:val="21"/>
              <w:szCs w:val="21"/>
            </w:rPr>
            <w:instrText xml:space="preserve"> PAGEREF _Toc14973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asciiTheme="minorEastAsia" w:hAnsiTheme="minorEastAsia" w:cstheme="minorEastAsia"/>
              <w:sz w:val="21"/>
              <w:szCs w:val="21"/>
            </w:rPr>
            <w:fldChar w:fldCharType="end"/>
          </w:r>
          <w:bookmarkEnd w:id="11"/>
        </w:p>
        <w:p w14:paraId="4562719B">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"_Toc14973" </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 xml:space="preserve"> 工厂检查</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_Toc14973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6CAD2424">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"_Toc14560" </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.1 专业技术人员</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_Toc14560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49507B4E">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"_Toc24934" </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.2 生产设备工装和监视测量设备</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_Toc24934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2</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2F972D7D">
          <w:pPr>
            <w:pStyle w:val="21"/>
            <w:tabs>
              <w:tab w:val="right" w:leader="dot" w:pos="9354"/>
              <w:tab w:val="clear" w:pos="0"/>
            </w:tabs>
            <w:spacing w:after="0" w:line="360" w:lineRule="exact"/>
            <w:ind w:left="0"/>
          </w:pPr>
          <w:bookmarkStart w:id="12" w:name="_Hlk185155315"/>
          <w:r>
            <w:fldChar w:fldCharType="begin"/>
          </w:r>
          <w:r>
            <w:instrText xml:space="preserve">HYPERLINK \l "_Toc24934"</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w:t>
          </w:r>
          <w:r>
            <w:rPr>
              <w:rFonts w:asciiTheme="minorEastAsia" w:hAnsiTheme="minorEastAsia" w:cstheme="minorEastAsia"/>
              <w:sz w:val="21"/>
              <w:szCs w:val="21"/>
            </w:rPr>
            <w:t>3</w:t>
          </w:r>
          <w:r>
            <w:rPr>
              <w:rFonts w:hint="eastAsia" w:asciiTheme="minorEastAsia" w:hAnsiTheme="minorEastAsia" w:cstheme="minorEastAsia"/>
              <w:sz w:val="21"/>
              <w:szCs w:val="21"/>
            </w:rPr>
            <w:t xml:space="preserve"> 零部件和材料</w:t>
          </w:r>
          <w:r>
            <w:rPr>
              <w:rFonts w:hint="eastAsia" w:asciiTheme="minorEastAsia" w:hAnsiTheme="minorEastAsia" w:cstheme="minorEastAsia"/>
              <w:sz w:val="21"/>
              <w:szCs w:val="21"/>
            </w:rPr>
            <w:tab/>
          </w:r>
          <w:r>
            <w:fldChar w:fldCharType="end"/>
          </w:r>
          <w:bookmarkEnd w:id="12"/>
          <w:r>
            <w:rPr>
              <w:rFonts w:asciiTheme="minorEastAsia" w:hAnsiTheme="minorEastAsia" w:cstheme="minorEastAsia"/>
              <w:sz w:val="21"/>
              <w:szCs w:val="21"/>
            </w:rPr>
            <w:t>2</w:t>
          </w:r>
        </w:p>
        <w:p w14:paraId="55B8D931">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"_Toc20213"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 xml:space="preserve"> 产品抽样检验</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_Toc20213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2</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2F712344">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"_Toc6733"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.1 检验依据</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_Toc6733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3</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2262A1DA">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"_Toc24550"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.2 产品抽样</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_Toc24550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3</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3CE7D9E0">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"_Toc11564"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.3 检验条件</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_Toc11564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4</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259E2A43">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"_Toc27742"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.4 检验内容及检验方法</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_Toc27742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5</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3FC8158C">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"_Toc30249"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.5 结果判定</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_Toc30249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7</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79EF6117">
          <w:pPr>
            <w:pStyle w:val="21"/>
            <w:tabs>
              <w:tab w:val="right" w:leader="dot" w:pos="9354"/>
              <w:tab w:val="clear" w:pos="0"/>
            </w:tabs>
            <w:spacing w:after="0" w:line="360" w:lineRule="exact"/>
            <w:ind w:left="0"/>
            <w:rPr>
              <w:rFonts w:asciiTheme="minorEastAsia" w:hAnsiTheme="minorEastAsia" w:cstheme="minorEastAsia"/>
              <w:sz w:val="21"/>
              <w:szCs w:val="21"/>
            </w:rPr>
          </w:pPr>
          <w:r>
            <w:fldChar w:fldCharType="begin"/>
          </w:r>
          <w:r>
            <w:instrText xml:space="preserve"> HYPERLINK \l "_Toc3408"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.6 检验程序</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_Toc3408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7</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6F6CA943">
          <w:pPr>
            <w:pStyle w:val="21"/>
            <w:tabs>
              <w:tab w:val="right" w:leader="dot" w:pos="9354"/>
              <w:tab w:val="clear" w:pos="0"/>
            </w:tabs>
            <w:spacing w:after="0" w:line="360" w:lineRule="exact"/>
            <w:ind w:left="0"/>
          </w:pPr>
          <w:r>
            <w:fldChar w:fldCharType="begin"/>
          </w:r>
          <w:r>
            <w:instrText xml:space="preserve"> HYPERLINK \l "_Toc18997"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.7 检验报告</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_Toc18997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8</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36A65D8F">
          <w:r>
            <w:fldChar w:fldCharType="end"/>
          </w:r>
        </w:p>
      </w:sdtContent>
    </w:sdt>
    <w:p w14:paraId="76AFF1FA"/>
    <w:p w14:paraId="5BF644C1"/>
    <w:p w14:paraId="71BD42AD"/>
    <w:p w14:paraId="007DBFE5"/>
    <w:p w14:paraId="31206AD2"/>
    <w:p w14:paraId="215DF215"/>
    <w:p w14:paraId="67BD65BC"/>
    <w:p w14:paraId="3666DA3E"/>
    <w:p w14:paraId="08283457"/>
    <w:p w14:paraId="25FC84DB"/>
    <w:p w14:paraId="7D4BAF0E"/>
    <w:p w14:paraId="7B5D0D7E"/>
    <w:p w14:paraId="737ED302"/>
    <w:p w14:paraId="25BBE261"/>
    <w:p w14:paraId="5ECF136C"/>
    <w:p w14:paraId="4526DCB3"/>
    <w:p w14:paraId="7D0E22CF"/>
    <w:p w14:paraId="7CC369ED"/>
    <w:p w14:paraId="3D997F72"/>
    <w:p w14:paraId="3C0C0112">
      <w:pPr>
        <w:jc w:val="right"/>
      </w:pPr>
    </w:p>
    <w:p w14:paraId="27601848">
      <w:pPr>
        <w:pStyle w:val="49"/>
      </w:pPr>
      <w:r>
        <w:rPr>
          <w:szCs w:val="24"/>
        </w:rPr>
        <w:fldChar w:fldCharType="end"/>
      </w:r>
      <w:bookmarkEnd w:id="10"/>
      <w:bookmarkStart w:id="13" w:name="_Toc18691"/>
      <w:bookmarkStart w:id="14" w:name="_Toc153544671"/>
      <w:bookmarkStart w:id="15" w:name="_Toc153543592"/>
      <w:bookmarkStart w:id="16" w:name="_Toc165968530"/>
      <w:bookmarkStart w:id="17" w:name="_Toc26147"/>
      <w:bookmarkStart w:id="18" w:name="_Toc946"/>
      <w:r>
        <w:t>前</w:t>
      </w:r>
      <w:bookmarkStart w:id="19" w:name="BKQY"/>
      <w:r>
        <w:t>  言</w:t>
      </w:r>
      <w:bookmarkEnd w:id="13"/>
      <w:bookmarkEnd w:id="14"/>
      <w:bookmarkEnd w:id="15"/>
      <w:bookmarkEnd w:id="16"/>
      <w:bookmarkEnd w:id="17"/>
      <w:bookmarkEnd w:id="19"/>
    </w:p>
    <w:p w14:paraId="0E248F4A">
      <w:pPr>
        <w:pStyle w:val="31"/>
        <w:spacing w:after="160"/>
        <w:jc w:val="both"/>
      </w:pPr>
      <w:r>
        <w:rPr>
          <w:rFonts w:hint="eastAsia"/>
        </w:rPr>
        <w:t>本细则按照</w:t>
      </w:r>
      <w:r>
        <w:rPr>
          <w:rFonts w:hint="eastAsia" w:ascii="宋体" w:hAnsi="宋体"/>
        </w:rPr>
        <w:t>GB/T 1.1</w:t>
      </w:r>
      <w:r>
        <w:rPr>
          <w:rFonts w:ascii="宋体" w:hAnsi="宋体"/>
        </w:rPr>
        <w:t>—</w:t>
      </w:r>
      <w:r>
        <w:rPr>
          <w:rFonts w:hint="eastAsia" w:ascii="宋体" w:hAnsi="宋体"/>
        </w:rPr>
        <w:t>2020</w:t>
      </w:r>
      <w:r>
        <w:rPr>
          <w:rFonts w:ascii="宋体" w:hAnsi="宋体"/>
        </w:rPr>
        <w:t xml:space="preserve"> </w:t>
      </w:r>
      <w:r>
        <w:rPr>
          <w:rFonts w:hint="eastAsia" w:ascii="宋体" w:hAnsi="宋体"/>
        </w:rPr>
        <w:t xml:space="preserve">《标准化工作导则 </w:t>
      </w:r>
      <w:r>
        <w:rPr>
          <w:rFonts w:ascii="宋体" w:hAnsi="宋体"/>
        </w:rPr>
        <w:t xml:space="preserve"> </w:t>
      </w:r>
      <w:r>
        <w:rPr>
          <w:rFonts w:hint="eastAsia" w:ascii="宋体" w:hAnsi="宋体"/>
        </w:rPr>
        <w:t>第</w:t>
      </w:r>
      <w:r>
        <w:rPr>
          <w:rFonts w:ascii="宋体" w:hAnsi="宋体"/>
        </w:rPr>
        <w:t>1部分:标准化文件的结构和起草规则</w:t>
      </w:r>
      <w:r>
        <w:rPr>
          <w:rFonts w:hint="eastAsia" w:ascii="宋体" w:hAnsi="宋体"/>
        </w:rPr>
        <w:t>》的</w:t>
      </w:r>
      <w:r>
        <w:rPr>
          <w:rFonts w:hint="eastAsia"/>
        </w:rPr>
        <w:t>规定起草。</w:t>
      </w:r>
    </w:p>
    <w:p w14:paraId="2B99D197">
      <w:pPr>
        <w:pStyle w:val="31"/>
        <w:spacing w:after="160"/>
        <w:jc w:val="both"/>
      </w:pPr>
      <w:r>
        <w:rPr>
          <w:rFonts w:hint="eastAsia"/>
        </w:rPr>
        <w:t>本细则由国家铁路局设备监督管理司提出，由中车青岛四方车辆研究所有限公司归口。</w:t>
      </w:r>
    </w:p>
    <w:p w14:paraId="470A612D">
      <w:pPr>
        <w:pStyle w:val="31"/>
        <w:spacing w:after="160"/>
        <w:jc w:val="both"/>
      </w:pPr>
      <w:r>
        <w:rPr>
          <w:rFonts w:hint="eastAsia"/>
        </w:rPr>
        <w:t>本细则起草单位：西安通号铁路信号产品检验站有限公司。</w:t>
      </w:r>
    </w:p>
    <w:p w14:paraId="743ED496">
      <w:pPr>
        <w:pStyle w:val="31"/>
        <w:spacing w:after="160"/>
        <w:jc w:val="both"/>
      </w:pPr>
      <w:r>
        <w:rPr>
          <w:rFonts w:hint="eastAsia"/>
        </w:rPr>
        <w:t>本细则主要起草人：贺毅荣。</w:t>
      </w:r>
    </w:p>
    <w:p w14:paraId="56E5DB91">
      <w:pPr>
        <w:pStyle w:val="31"/>
      </w:pPr>
      <w:r>
        <w:rPr>
          <w:rFonts w:hint="eastAsia"/>
        </w:rPr>
        <w:t>本细则及其所替代文件的历次版本发布情况：本细则为首次发布。</w:t>
      </w:r>
    </w:p>
    <w:p w14:paraId="4B253007">
      <w:pPr>
        <w:pStyle w:val="31"/>
        <w:sectPr>
          <w:headerReference r:id="rId7" w:type="default"/>
          <w:footerReference r:id="rId9" w:type="default"/>
          <w:headerReference r:id="rId8" w:type="even"/>
          <w:footerReference r:id="rId10" w:type="even"/>
          <w:pgSz w:w="11906" w:h="16838"/>
          <w:pgMar w:top="567" w:right="1134" w:bottom="1134" w:left="1417" w:header="1417" w:footer="1134" w:gutter="0"/>
          <w:pgNumType w:fmt="upperRoman" w:start="1"/>
          <w:cols w:space="0" w:num="1"/>
          <w:docGrid w:type="lines" w:linePitch="312" w:charSpace="0"/>
        </w:sectPr>
      </w:pPr>
    </w:p>
    <w:bookmarkEnd w:id="18"/>
    <w:p w14:paraId="6CB05B06">
      <w:pPr>
        <w:pStyle w:val="48"/>
      </w:pPr>
      <w:bookmarkStart w:id="20" w:name="_Toc165968532"/>
      <w:bookmarkStart w:id="21" w:name="_Toc19930"/>
      <w:bookmarkStart w:id="22" w:name="_Toc18787"/>
      <w:bookmarkStart w:id="23" w:name="_Toc30020"/>
      <w:r>
        <w:rPr>
          <w:rFonts w:hint="eastAsia"/>
        </w:rPr>
        <w:t>隔离器产品检验检测细则</w:t>
      </w:r>
      <w:bookmarkEnd w:id="20"/>
      <w:bookmarkEnd w:id="21"/>
    </w:p>
    <w:bookmarkEnd w:id="22"/>
    <w:bookmarkEnd w:id="23"/>
    <w:p w14:paraId="44A0F741">
      <w:pPr>
        <w:pStyle w:val="51"/>
        <w:ind w:left="0"/>
      </w:pPr>
      <w:bookmarkStart w:id="24" w:name="_Toc26945"/>
      <w:bookmarkStart w:id="25" w:name="_Toc165968533"/>
      <w:bookmarkStart w:id="26" w:name="_Toc30758"/>
      <w:bookmarkStart w:id="27" w:name="_Toc3943"/>
      <w:r>
        <w:t>范围</w:t>
      </w:r>
      <w:bookmarkEnd w:id="24"/>
      <w:bookmarkEnd w:id="25"/>
      <w:bookmarkEnd w:id="26"/>
      <w:bookmarkEnd w:id="27"/>
    </w:p>
    <w:p w14:paraId="6E3A5F0A">
      <w:pPr>
        <w:pStyle w:val="31"/>
        <w:jc w:val="both"/>
        <w:rPr>
          <w:rFonts w:asciiTheme="majorEastAsia" w:hAnsiTheme="majorEastAsia" w:eastAsiaTheme="majorEastAsia"/>
        </w:rPr>
      </w:pPr>
      <w:r>
        <w:rPr>
          <w:rFonts w:hint="eastAsia" w:asciiTheme="majorEastAsia" w:hAnsiTheme="majorEastAsia" w:eastAsiaTheme="majorEastAsia"/>
        </w:rPr>
        <w:t>本</w:t>
      </w:r>
      <w:r>
        <w:rPr>
          <w:rFonts w:hint="eastAsia"/>
        </w:rPr>
        <w:t>细则规定</w:t>
      </w:r>
      <w:r>
        <w:rPr>
          <w:rFonts w:hint="eastAsia"/>
          <w:szCs w:val="21"/>
        </w:rPr>
        <w:t>了</w:t>
      </w:r>
      <w:r>
        <w:rPr>
          <w:rFonts w:hint="eastAsia" w:asciiTheme="majorEastAsia" w:hAnsiTheme="majorEastAsia" w:eastAsiaTheme="majorEastAsia"/>
        </w:rPr>
        <w:t>隔离器的工厂检查和产品抽样检验</w:t>
      </w:r>
      <w:r>
        <w:rPr>
          <w:rFonts w:hint="eastAsia"/>
          <w:szCs w:val="21"/>
        </w:rPr>
        <w:t>的要求</w:t>
      </w:r>
      <w:r>
        <w:rPr>
          <w:rFonts w:hint="eastAsia" w:asciiTheme="majorEastAsia" w:hAnsiTheme="majorEastAsia" w:eastAsiaTheme="majorEastAsia"/>
        </w:rPr>
        <w:t>。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部分执行。</w:t>
      </w:r>
    </w:p>
    <w:p w14:paraId="505CE816">
      <w:pPr>
        <w:pStyle w:val="51"/>
        <w:ind w:left="0"/>
      </w:pPr>
      <w:bookmarkStart w:id="28" w:name="_Toc153542982"/>
      <w:bookmarkEnd w:id="28"/>
      <w:bookmarkStart w:id="29" w:name="_Toc153542985"/>
      <w:bookmarkEnd w:id="29"/>
      <w:bookmarkStart w:id="30" w:name="_Toc153542983"/>
      <w:bookmarkEnd w:id="30"/>
      <w:bookmarkStart w:id="31" w:name="_Toc153542984"/>
      <w:bookmarkEnd w:id="31"/>
      <w:bookmarkStart w:id="32" w:name="_Toc153542981"/>
      <w:bookmarkEnd w:id="32"/>
      <w:bookmarkStart w:id="33" w:name="_Toc153542986"/>
      <w:bookmarkEnd w:id="33"/>
      <w:bookmarkStart w:id="34" w:name="_Hlk184225708"/>
      <w:bookmarkStart w:id="35" w:name="_Toc14973"/>
      <w:r>
        <w:rPr>
          <w:rFonts w:hint="eastAsia"/>
        </w:rPr>
        <w:t>规范性引用文件</w:t>
      </w:r>
      <w:bookmarkEnd w:id="34"/>
    </w:p>
    <w:p w14:paraId="70F2B12D">
      <w:pPr>
        <w:pStyle w:val="31"/>
        <w:rPr>
          <w:szCs w:val="21"/>
        </w:rPr>
      </w:pPr>
      <w:r>
        <w:rPr>
          <w:rFonts w:hint="eastAsia"/>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25C25FCB">
      <w:pPr>
        <w:pStyle w:val="31"/>
        <w:rPr>
          <w:rFonts w:ascii="宋体" w:hAnsi="宋体"/>
          <w:szCs w:val="21"/>
        </w:rPr>
      </w:pPr>
      <w:r>
        <w:rPr>
          <w:rFonts w:ascii="宋体" w:hAnsi="宋体"/>
          <w:szCs w:val="21"/>
        </w:rPr>
        <w:t xml:space="preserve">TB/T 3112.4—2017  </w:t>
      </w:r>
      <w:r>
        <w:rPr>
          <w:rFonts w:hint="eastAsia" w:ascii="宋体" w:hAnsi="宋体"/>
          <w:szCs w:val="21"/>
        </w:rPr>
        <w:t>铁路车站电码化设备</w:t>
      </w:r>
      <w:r>
        <w:rPr>
          <w:rFonts w:ascii="宋体" w:hAnsi="宋体"/>
          <w:szCs w:val="21"/>
        </w:rPr>
        <w:t xml:space="preserve">  第4部分：元器件</w:t>
      </w:r>
    </w:p>
    <w:p w14:paraId="1D71D9AD">
      <w:pPr>
        <w:pStyle w:val="51"/>
        <w:spacing w:line="240" w:lineRule="auto"/>
        <w:ind w:left="0"/>
        <w:outlineLvl w:val="0"/>
        <w:rPr>
          <w:rFonts w:ascii="Times New Roman"/>
        </w:rPr>
      </w:pPr>
      <w:r>
        <w:rPr>
          <w:rFonts w:hint="eastAsia" w:ascii="Times New Roman"/>
        </w:rPr>
        <w:t>工厂检查</w:t>
      </w:r>
      <w:bookmarkEnd w:id="35"/>
    </w:p>
    <w:p w14:paraId="33B8752D">
      <w:pPr>
        <w:pStyle w:val="53"/>
      </w:pPr>
      <w:bookmarkStart w:id="36" w:name="_Toc153542994"/>
      <w:bookmarkEnd w:id="36"/>
      <w:bookmarkStart w:id="37" w:name="_Toc153542991"/>
      <w:bookmarkEnd w:id="37"/>
      <w:bookmarkStart w:id="38" w:name="_Toc153542992"/>
      <w:bookmarkEnd w:id="38"/>
      <w:bookmarkStart w:id="39" w:name="_Toc153542989"/>
      <w:bookmarkEnd w:id="39"/>
      <w:bookmarkStart w:id="40" w:name="_Toc153542990"/>
      <w:bookmarkEnd w:id="40"/>
      <w:bookmarkStart w:id="41" w:name="_Toc153542993"/>
      <w:bookmarkEnd w:id="41"/>
      <w:bookmarkStart w:id="42" w:name="_Toc153542995"/>
      <w:bookmarkEnd w:id="42"/>
      <w:bookmarkStart w:id="43" w:name="_Toc153543601"/>
      <w:bookmarkEnd w:id="43"/>
      <w:bookmarkStart w:id="44" w:name="_Toc14560"/>
      <w:r>
        <w:rPr>
          <w:rFonts w:hint="eastAsia"/>
        </w:rPr>
        <w:t>专业技术人员</w:t>
      </w:r>
      <w:bookmarkEnd w:id="44"/>
    </w:p>
    <w:p w14:paraId="46740315">
      <w:pPr>
        <w:pStyle w:val="80"/>
        <w:ind w:left="0"/>
        <w:rPr>
          <w:rFonts w:ascii="Times New Roman" w:hAnsi="Times New Roman"/>
        </w:rPr>
      </w:pPr>
      <w:bookmarkStart w:id="45" w:name="_Hlk184657096"/>
      <w:r>
        <w:rPr>
          <w:rFonts w:hint="eastAsia" w:ascii="Times New Roman" w:hAnsi="Times New Roman"/>
          <w:szCs w:val="20"/>
        </w:rPr>
        <w:t>具备可持续保证产品质量的专业技术人员，相应人员培训、人员资质等需满足产品质量保证需求。</w:t>
      </w:r>
      <w:bookmarkStart w:id="46" w:name="_Hlk192435721"/>
      <w:r>
        <w:rPr>
          <w:rFonts w:hint="eastAsia" w:ascii="Times New Roman" w:hAnsi="Times New Roman"/>
          <w:szCs w:val="20"/>
        </w:rPr>
        <w:t>生产企业专业技术人员</w:t>
      </w:r>
      <w:bookmarkEnd w:id="46"/>
      <w:r>
        <w:rPr>
          <w:rFonts w:hint="eastAsia" w:ascii="Times New Roman" w:hAnsi="Times New Roman"/>
          <w:szCs w:val="20"/>
        </w:rPr>
        <w:t>要求应符合</w:t>
      </w:r>
      <w:r>
        <w:rPr>
          <w:rFonts w:hint="eastAsia" w:hAnsi="宋体"/>
          <w:szCs w:val="20"/>
        </w:rPr>
        <w:t>表1的要求。</w:t>
      </w:r>
    </w:p>
    <w:p w14:paraId="6BA71E42">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生产企业专业技术人员要求</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2203"/>
        <w:gridCol w:w="1336"/>
        <w:gridCol w:w="865"/>
        <w:gridCol w:w="3359"/>
        <w:gridCol w:w="960"/>
      </w:tblGrid>
      <w:tr w14:paraId="693FB0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3" w:type="pct"/>
            <w:tcBorders>
              <w:top w:val="single" w:color="auto" w:sz="8" w:space="0"/>
              <w:left w:val="single" w:color="auto" w:sz="8" w:space="0"/>
              <w:bottom w:val="single" w:color="auto" w:sz="8" w:space="0"/>
            </w:tcBorders>
            <w:vAlign w:val="center"/>
          </w:tcPr>
          <w:p w14:paraId="0540BDD2">
            <w:r>
              <w:rPr>
                <w:rFonts w:hint="eastAsia"/>
              </w:rPr>
              <w:t>序号</w:t>
            </w:r>
          </w:p>
        </w:tc>
        <w:tc>
          <w:tcPr>
            <w:tcW w:w="1849" w:type="pct"/>
            <w:gridSpan w:val="2"/>
            <w:tcBorders>
              <w:top w:val="single" w:color="auto" w:sz="8" w:space="0"/>
              <w:bottom w:val="single" w:color="auto" w:sz="8" w:space="0"/>
            </w:tcBorders>
            <w:vAlign w:val="center"/>
          </w:tcPr>
          <w:p w14:paraId="1FBECDE0">
            <w:r>
              <w:rPr>
                <w:rFonts w:hint="eastAsia"/>
              </w:rPr>
              <w:t>专业类别</w:t>
            </w:r>
          </w:p>
        </w:tc>
        <w:tc>
          <w:tcPr>
            <w:tcW w:w="2207" w:type="pct"/>
            <w:gridSpan w:val="2"/>
            <w:tcBorders>
              <w:top w:val="single" w:color="auto" w:sz="8" w:space="0"/>
              <w:bottom w:val="single" w:color="auto" w:sz="8" w:space="0"/>
            </w:tcBorders>
            <w:vAlign w:val="center"/>
          </w:tcPr>
          <w:p w14:paraId="75ECC0C5">
            <w:r>
              <w:rPr>
                <w:rFonts w:hint="eastAsia"/>
              </w:rPr>
              <w:t>人员要求</w:t>
            </w:r>
          </w:p>
        </w:tc>
        <w:tc>
          <w:tcPr>
            <w:tcW w:w="501" w:type="pct"/>
            <w:tcBorders>
              <w:top w:val="single" w:color="auto" w:sz="8" w:space="0"/>
              <w:bottom w:val="single" w:color="auto" w:sz="8" w:space="0"/>
              <w:right w:val="single" w:color="auto" w:sz="8" w:space="0"/>
            </w:tcBorders>
            <w:vAlign w:val="center"/>
          </w:tcPr>
          <w:p w14:paraId="16AC40D4">
            <w:r>
              <w:rPr>
                <w:rFonts w:hint="eastAsia"/>
              </w:rPr>
              <w:t>备注</w:t>
            </w:r>
          </w:p>
        </w:tc>
      </w:tr>
      <w:tr w14:paraId="2ADA4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43" w:type="pct"/>
            <w:tcBorders>
              <w:top w:val="single" w:color="auto" w:sz="8" w:space="0"/>
              <w:left w:val="single" w:color="auto" w:sz="8" w:space="0"/>
            </w:tcBorders>
            <w:shd w:val="clear" w:color="auto" w:fill="auto"/>
            <w:vAlign w:val="center"/>
          </w:tcPr>
          <w:p w14:paraId="4B7058A3">
            <w:r>
              <w:t>1</w:t>
            </w:r>
          </w:p>
        </w:tc>
        <w:tc>
          <w:tcPr>
            <w:tcW w:w="1151" w:type="pct"/>
            <w:tcBorders>
              <w:top w:val="single" w:color="auto" w:sz="8" w:space="0"/>
            </w:tcBorders>
            <w:shd w:val="clear" w:color="auto" w:fill="auto"/>
            <w:vAlign w:val="center"/>
          </w:tcPr>
          <w:p w14:paraId="2C98A436">
            <w:pPr>
              <w:rPr>
                <w:rFonts w:asciiTheme="minorEastAsia" w:hAnsiTheme="minorEastAsia" w:eastAsiaTheme="minorEastAsia"/>
              </w:rPr>
            </w:pPr>
            <w:r>
              <w:rPr>
                <w:rFonts w:hint="eastAsia" w:cs="Times New Roman Regular" w:asciiTheme="minorEastAsia" w:hAnsiTheme="minorEastAsia" w:eastAsiaTheme="minorEastAsia"/>
              </w:rPr>
              <w:t>专业</w:t>
            </w:r>
            <w:r>
              <w:rPr>
                <w:rFonts w:cs="Times New Roman Regular" w:asciiTheme="minorEastAsia" w:hAnsiTheme="minorEastAsia" w:eastAsiaTheme="minorEastAsia"/>
              </w:rPr>
              <w:t>技术</w:t>
            </w:r>
            <w:r>
              <w:rPr>
                <w:rFonts w:hint="eastAsia" w:cs="Times New Roman Regular" w:asciiTheme="minorEastAsia" w:hAnsiTheme="minorEastAsia" w:eastAsiaTheme="minorEastAsia"/>
              </w:rPr>
              <w:t>工程师</w:t>
            </w:r>
          </w:p>
        </w:tc>
        <w:tc>
          <w:tcPr>
            <w:tcW w:w="698" w:type="pct"/>
            <w:tcBorders>
              <w:top w:val="single" w:color="auto" w:sz="8" w:space="0"/>
            </w:tcBorders>
            <w:shd w:val="clear" w:color="auto" w:fill="auto"/>
            <w:vAlign w:val="center"/>
          </w:tcPr>
          <w:p w14:paraId="54005161">
            <w:pPr>
              <w:rPr>
                <w:rFonts w:asciiTheme="minorEastAsia" w:hAnsiTheme="minorEastAsia" w:eastAsiaTheme="minorEastAsia"/>
              </w:rPr>
            </w:pPr>
            <w:r>
              <w:rPr>
                <w:rFonts w:hint="eastAsia" w:asciiTheme="minorEastAsia" w:hAnsiTheme="minorEastAsia" w:eastAsiaTheme="minorEastAsia"/>
              </w:rPr>
              <w:t>信号、电气</w:t>
            </w:r>
          </w:p>
        </w:tc>
        <w:tc>
          <w:tcPr>
            <w:tcW w:w="452" w:type="pct"/>
            <w:tcBorders>
              <w:top w:val="single" w:color="auto" w:sz="8" w:space="0"/>
            </w:tcBorders>
            <w:shd w:val="clear" w:color="auto" w:fill="auto"/>
            <w:vAlign w:val="center"/>
          </w:tcPr>
          <w:p w14:paraId="2B3ECFEE">
            <w:pPr>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人</w:t>
            </w:r>
          </w:p>
        </w:tc>
        <w:tc>
          <w:tcPr>
            <w:tcW w:w="1755" w:type="pct"/>
            <w:tcBorders>
              <w:top w:val="single" w:color="auto" w:sz="8" w:space="0"/>
            </w:tcBorders>
            <w:shd w:val="clear" w:color="auto" w:fill="auto"/>
            <w:vAlign w:val="center"/>
          </w:tcPr>
          <w:p w14:paraId="23BBA133">
            <w:pPr>
              <w:rPr>
                <w:rFonts w:asciiTheme="minorEastAsia" w:hAnsiTheme="minorEastAsia" w:eastAsiaTheme="minorEastAsia"/>
              </w:rPr>
            </w:pPr>
            <w:r>
              <w:rPr>
                <w:rFonts w:asciiTheme="minorEastAsia" w:hAnsiTheme="minorEastAsia" w:eastAsiaTheme="minorEastAsia"/>
              </w:rPr>
              <w:t>具有高级</w:t>
            </w:r>
            <w:r>
              <w:rPr>
                <w:rFonts w:hint="eastAsia" w:asciiTheme="minorEastAsia" w:hAnsiTheme="minorEastAsia" w:eastAsiaTheme="minorEastAsia"/>
              </w:rPr>
              <w:t>人员</w:t>
            </w:r>
            <w:r>
              <w:rPr>
                <w:rFonts w:asciiTheme="minorEastAsia" w:hAnsiTheme="minorEastAsia" w:eastAsiaTheme="minorEastAsia"/>
              </w:rPr>
              <w:t>1人和中级</w:t>
            </w:r>
            <w:r>
              <w:rPr>
                <w:rFonts w:hint="eastAsia" w:asciiTheme="minorEastAsia" w:hAnsiTheme="minorEastAsia" w:eastAsiaTheme="minorEastAsia"/>
              </w:rPr>
              <w:t>人员</w:t>
            </w:r>
            <w:r>
              <w:rPr>
                <w:rFonts w:asciiTheme="minorEastAsia" w:hAnsiTheme="minorEastAsia" w:eastAsiaTheme="minorEastAsia"/>
              </w:rPr>
              <w:t>2人</w:t>
            </w:r>
          </w:p>
        </w:tc>
        <w:tc>
          <w:tcPr>
            <w:tcW w:w="501" w:type="pct"/>
            <w:tcBorders>
              <w:top w:val="single" w:color="auto" w:sz="8" w:space="0"/>
              <w:right w:val="single" w:color="auto" w:sz="8" w:space="0"/>
            </w:tcBorders>
            <w:shd w:val="clear" w:color="auto" w:fill="auto"/>
            <w:vAlign w:val="center"/>
          </w:tcPr>
          <w:p w14:paraId="7023DCCB">
            <w:r>
              <w:rPr>
                <w:rFonts w:hint="eastAsia"/>
              </w:rPr>
              <w:t>—</w:t>
            </w:r>
          </w:p>
        </w:tc>
      </w:tr>
      <w:tr w14:paraId="7933B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43" w:type="pct"/>
            <w:tcBorders>
              <w:top w:val="single" w:color="auto" w:sz="4" w:space="0"/>
              <w:left w:val="single" w:color="auto" w:sz="8" w:space="0"/>
              <w:bottom w:val="single" w:color="auto" w:sz="8" w:space="0"/>
            </w:tcBorders>
            <w:shd w:val="clear" w:color="auto" w:fill="auto"/>
            <w:vAlign w:val="center"/>
          </w:tcPr>
          <w:p w14:paraId="04EC30D3">
            <w:r>
              <w:t>2</w:t>
            </w:r>
          </w:p>
        </w:tc>
        <w:tc>
          <w:tcPr>
            <w:tcW w:w="1151" w:type="pct"/>
            <w:tcBorders>
              <w:bottom w:val="single" w:color="auto" w:sz="8" w:space="0"/>
            </w:tcBorders>
            <w:shd w:val="clear" w:color="auto" w:fill="auto"/>
            <w:vAlign w:val="center"/>
          </w:tcPr>
          <w:p w14:paraId="7095325D">
            <w:pPr>
              <w:rPr>
                <w:rFonts w:asciiTheme="minorEastAsia" w:hAnsiTheme="minorEastAsia" w:eastAsiaTheme="minorEastAsia"/>
              </w:rPr>
            </w:pPr>
            <w:r>
              <w:rPr>
                <w:rFonts w:cs="Times New Roman Regular" w:asciiTheme="minorEastAsia" w:hAnsiTheme="minorEastAsia" w:eastAsiaTheme="minorEastAsia"/>
              </w:rPr>
              <w:t>关键岗位人员</w:t>
            </w:r>
          </w:p>
        </w:tc>
        <w:tc>
          <w:tcPr>
            <w:tcW w:w="698" w:type="pct"/>
            <w:tcBorders>
              <w:top w:val="single" w:color="auto" w:sz="4" w:space="0"/>
              <w:bottom w:val="single" w:color="auto" w:sz="8" w:space="0"/>
            </w:tcBorders>
            <w:shd w:val="clear" w:color="auto" w:fill="auto"/>
            <w:vAlign w:val="center"/>
          </w:tcPr>
          <w:p w14:paraId="1DA90199">
            <w:pPr>
              <w:rPr>
                <w:rFonts w:asciiTheme="minorEastAsia" w:hAnsiTheme="minorEastAsia" w:eastAsiaTheme="minorEastAsia"/>
              </w:rPr>
            </w:pPr>
            <w:r>
              <w:rPr>
                <w:rFonts w:hint="eastAsia" w:asciiTheme="minorEastAsia" w:hAnsiTheme="minorEastAsia" w:eastAsiaTheme="minorEastAsia"/>
              </w:rPr>
              <w:t>—</w:t>
            </w:r>
          </w:p>
        </w:tc>
        <w:tc>
          <w:tcPr>
            <w:tcW w:w="452" w:type="pct"/>
            <w:tcBorders>
              <w:top w:val="single" w:color="auto" w:sz="4" w:space="0"/>
              <w:bottom w:val="single" w:color="auto" w:sz="8" w:space="0"/>
            </w:tcBorders>
            <w:shd w:val="clear" w:color="auto" w:fill="auto"/>
            <w:vAlign w:val="center"/>
          </w:tcPr>
          <w:p w14:paraId="77AF1821">
            <w:pPr>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人</w:t>
            </w:r>
          </w:p>
        </w:tc>
        <w:tc>
          <w:tcPr>
            <w:tcW w:w="1755" w:type="pct"/>
            <w:tcBorders>
              <w:top w:val="single" w:color="auto" w:sz="4" w:space="0"/>
              <w:bottom w:val="single" w:color="auto" w:sz="8" w:space="0"/>
            </w:tcBorders>
            <w:shd w:val="clear" w:color="auto" w:fill="auto"/>
            <w:vAlign w:val="center"/>
          </w:tcPr>
          <w:p w14:paraId="133DAA1E">
            <w:pPr>
              <w:rPr>
                <w:rFonts w:asciiTheme="minorEastAsia" w:hAnsiTheme="minorEastAsia" w:eastAsiaTheme="minorEastAsia"/>
              </w:rPr>
            </w:pPr>
            <w:r>
              <w:rPr>
                <w:rFonts w:cs="Times New Roman Regular" w:asciiTheme="minorEastAsia" w:hAnsiTheme="minorEastAsia" w:eastAsiaTheme="minorEastAsia"/>
              </w:rPr>
              <w:t>具有5年及以上工作经历</w:t>
            </w:r>
          </w:p>
        </w:tc>
        <w:tc>
          <w:tcPr>
            <w:tcW w:w="501" w:type="pct"/>
            <w:tcBorders>
              <w:top w:val="single" w:color="auto" w:sz="4" w:space="0"/>
              <w:bottom w:val="single" w:color="auto" w:sz="8" w:space="0"/>
              <w:right w:val="single" w:color="auto" w:sz="8" w:space="0"/>
            </w:tcBorders>
            <w:shd w:val="clear" w:color="auto" w:fill="auto"/>
            <w:vAlign w:val="center"/>
          </w:tcPr>
          <w:p w14:paraId="3FB40BC1">
            <w:r>
              <w:rPr>
                <w:rFonts w:hint="eastAsia"/>
              </w:rPr>
              <w:t>—</w:t>
            </w:r>
          </w:p>
        </w:tc>
      </w:tr>
    </w:tbl>
    <w:p w14:paraId="4EFB5A23">
      <w:pPr>
        <w:pStyle w:val="80"/>
        <w:ind w:left="0"/>
        <w:rPr>
          <w:rFonts w:hAnsi="宋体"/>
        </w:rPr>
      </w:pPr>
      <w:r>
        <w:rPr>
          <w:rFonts w:hint="eastAsia" w:hAnsi="宋体"/>
        </w:rPr>
        <w:t>专业技术人员能力应与企业委托产品范围相一致。专业要求中，可以是所学专业并获得相应技术职称，或者所从事专业并获得相关技术职称。</w:t>
      </w:r>
      <w:r>
        <w:rPr>
          <w:rFonts w:ascii="Times New Roman" w:hAnsi="Times New Roman" w:eastAsia="宋体"/>
          <w:szCs w:val="20"/>
        </w:rPr>
        <w:t>专业技术人员应当是符合法律规定的适龄的注册在职人员，由本企业缴纳社会保险。</w:t>
      </w:r>
    </w:p>
    <w:bookmarkEnd w:id="45"/>
    <w:p w14:paraId="1D058482">
      <w:pPr>
        <w:pStyle w:val="80"/>
        <w:ind w:left="0"/>
        <w:rPr>
          <w:rFonts w:eastAsia="黑体"/>
        </w:rPr>
      </w:pPr>
      <w:r>
        <w:rPr>
          <w:rFonts w:ascii="Times New Roman" w:hAnsi="Times New Roman" w:eastAsia="宋体"/>
          <w:szCs w:val="20"/>
        </w:rPr>
        <w:t>专业技术</w:t>
      </w:r>
      <w:r>
        <w:rPr>
          <w:rFonts w:hint="eastAsia" w:ascii="宋体" w:hAnsi="宋体" w:eastAsia="宋体" w:cs="宋体"/>
          <w:szCs w:val="20"/>
        </w:rPr>
        <w:t>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599ACC12">
      <w:pPr>
        <w:pStyle w:val="80"/>
        <w:ind w:left="0"/>
        <w:rPr>
          <w:rFonts w:hAnsi="宋体"/>
        </w:rPr>
      </w:pPr>
      <w:r>
        <w:rPr>
          <w:rFonts w:hint="eastAsia" w:hAnsi="宋体"/>
        </w:rPr>
        <w:t>允许高级人员代中级人员。</w:t>
      </w:r>
    </w:p>
    <w:p w14:paraId="2293A695">
      <w:pPr>
        <w:pStyle w:val="53"/>
      </w:pPr>
      <w:bookmarkStart w:id="47" w:name="_Toc153543001"/>
      <w:bookmarkEnd w:id="47"/>
      <w:bookmarkStart w:id="48" w:name="_Toc153542998"/>
      <w:bookmarkEnd w:id="48"/>
      <w:bookmarkStart w:id="49" w:name="_Toc153543004"/>
      <w:bookmarkEnd w:id="49"/>
      <w:bookmarkStart w:id="50" w:name="_Toc153543003"/>
      <w:bookmarkEnd w:id="50"/>
      <w:bookmarkStart w:id="51" w:name="_Toc153543002"/>
      <w:bookmarkEnd w:id="51"/>
      <w:bookmarkStart w:id="52" w:name="_Toc153543000"/>
      <w:bookmarkEnd w:id="52"/>
      <w:bookmarkStart w:id="53" w:name="_Toc153542999"/>
      <w:bookmarkEnd w:id="53"/>
      <w:bookmarkStart w:id="54" w:name="_Toc24934"/>
      <w:r>
        <w:rPr>
          <w:rFonts w:hint="eastAsia"/>
        </w:rPr>
        <w:t>生产设备工装和监视测量设备</w:t>
      </w:r>
      <w:bookmarkEnd w:id="54"/>
    </w:p>
    <w:p w14:paraId="156A6604">
      <w:pPr>
        <w:pStyle w:val="31"/>
        <w:jc w:val="both"/>
        <w:rPr>
          <w:rFonts w:ascii="宋体" w:hAnsi="宋体"/>
        </w:rPr>
      </w:pPr>
      <w:r>
        <w:rPr>
          <w:rFonts w:hint="eastAsia" w:ascii="宋体" w:hAnsi="宋体"/>
        </w:rPr>
        <w:t>具备保证产品质量的生产设备和检验检测设备应符合表</w:t>
      </w:r>
      <w:r>
        <w:rPr>
          <w:rFonts w:ascii="宋体" w:hAnsi="宋体"/>
        </w:rPr>
        <w:t>2</w:t>
      </w:r>
      <w:r>
        <w:rPr>
          <w:rFonts w:hint="eastAsia" w:ascii="宋体" w:hAnsi="宋体"/>
        </w:rPr>
        <w:t>的要求。</w:t>
      </w:r>
    </w:p>
    <w:p w14:paraId="2DD870A9">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2</w:t>
      </w:r>
      <w:r>
        <w:rPr>
          <w:rFonts w:hint="eastAsia" w:ascii="黑体" w:hAnsi="黑体" w:eastAsia="黑体" w:cs="黑体"/>
        </w:rPr>
        <w:t xml:space="preserve">  </w:t>
      </w:r>
      <w:r>
        <w:rPr>
          <w:rFonts w:hint="eastAsia" w:ascii="黑体" w:hAnsi="黑体" w:eastAsia="黑体"/>
        </w:rPr>
        <w:t>生产设备和检验检测设备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051"/>
        <w:gridCol w:w="1552"/>
        <w:gridCol w:w="3344"/>
        <w:gridCol w:w="1744"/>
        <w:gridCol w:w="1151"/>
      </w:tblGrid>
      <w:tr w14:paraId="0B5CB5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vMerge w:val="restart"/>
            <w:tcBorders>
              <w:top w:val="single" w:color="auto" w:sz="8" w:space="0"/>
              <w:left w:val="single" w:color="auto" w:sz="8" w:space="0"/>
            </w:tcBorders>
            <w:vAlign w:val="center"/>
          </w:tcPr>
          <w:p w14:paraId="006B4023">
            <w:bookmarkStart w:id="55" w:name="_Toc185887547"/>
            <w:bookmarkStart w:id="56" w:name="_Hlk185865594"/>
            <w:bookmarkStart w:id="57" w:name="_Hlk184801862"/>
            <w:r>
              <w:t>序号</w:t>
            </w:r>
          </w:p>
        </w:tc>
        <w:tc>
          <w:tcPr>
            <w:tcW w:w="549" w:type="pct"/>
            <w:vMerge w:val="restart"/>
            <w:tcBorders>
              <w:top w:val="single" w:color="auto" w:sz="8" w:space="0"/>
            </w:tcBorders>
            <w:vAlign w:val="center"/>
          </w:tcPr>
          <w:p w14:paraId="2D88333E">
            <w:r>
              <w:rPr>
                <w:rFonts w:hint="eastAsia"/>
              </w:rPr>
              <w:t>工艺类别</w:t>
            </w:r>
          </w:p>
        </w:tc>
        <w:tc>
          <w:tcPr>
            <w:tcW w:w="811" w:type="pct"/>
            <w:vMerge w:val="restart"/>
            <w:tcBorders>
              <w:top w:val="single" w:color="auto" w:sz="8" w:space="0"/>
            </w:tcBorders>
            <w:vAlign w:val="center"/>
          </w:tcPr>
          <w:p w14:paraId="5D2291A9">
            <w:r>
              <w:rPr>
                <w:rFonts w:hint="eastAsia"/>
              </w:rPr>
              <w:t>设备名称</w:t>
            </w:r>
          </w:p>
        </w:tc>
        <w:tc>
          <w:tcPr>
            <w:tcW w:w="2658" w:type="pct"/>
            <w:gridSpan w:val="2"/>
            <w:tcBorders>
              <w:top w:val="single" w:color="auto" w:sz="8" w:space="0"/>
              <w:bottom w:val="single" w:color="auto" w:sz="4" w:space="0"/>
            </w:tcBorders>
            <w:vAlign w:val="center"/>
          </w:tcPr>
          <w:p w14:paraId="123AF852">
            <w:r>
              <w:rPr>
                <w:rFonts w:hint="eastAsia"/>
              </w:rPr>
              <w:t>规格</w:t>
            </w:r>
          </w:p>
        </w:tc>
        <w:tc>
          <w:tcPr>
            <w:tcW w:w="601" w:type="pct"/>
            <w:vMerge w:val="restart"/>
            <w:tcBorders>
              <w:top w:val="single" w:color="auto" w:sz="8" w:space="0"/>
              <w:right w:val="single" w:color="auto" w:sz="8" w:space="0"/>
            </w:tcBorders>
            <w:vAlign w:val="center"/>
          </w:tcPr>
          <w:p w14:paraId="7B551D94">
            <w:r>
              <w:rPr>
                <w:rFonts w:hint="eastAsia"/>
              </w:rPr>
              <w:t>备注</w:t>
            </w:r>
          </w:p>
        </w:tc>
      </w:tr>
      <w:tr w14:paraId="747EE7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vMerge w:val="continue"/>
            <w:tcBorders>
              <w:left w:val="single" w:color="auto" w:sz="8" w:space="0"/>
              <w:bottom w:val="single" w:color="auto" w:sz="8" w:space="0"/>
            </w:tcBorders>
            <w:vAlign w:val="center"/>
          </w:tcPr>
          <w:p w14:paraId="7E995D33"/>
        </w:tc>
        <w:tc>
          <w:tcPr>
            <w:tcW w:w="549" w:type="pct"/>
            <w:vMerge w:val="continue"/>
            <w:tcBorders>
              <w:bottom w:val="single" w:color="auto" w:sz="8" w:space="0"/>
            </w:tcBorders>
            <w:vAlign w:val="center"/>
          </w:tcPr>
          <w:p w14:paraId="5C996C4E"/>
        </w:tc>
        <w:tc>
          <w:tcPr>
            <w:tcW w:w="811" w:type="pct"/>
            <w:vMerge w:val="continue"/>
            <w:tcBorders>
              <w:bottom w:val="single" w:color="auto" w:sz="8" w:space="0"/>
            </w:tcBorders>
            <w:vAlign w:val="center"/>
          </w:tcPr>
          <w:p w14:paraId="04DCD311"/>
        </w:tc>
        <w:tc>
          <w:tcPr>
            <w:tcW w:w="1747" w:type="pct"/>
            <w:tcBorders>
              <w:top w:val="single" w:color="auto" w:sz="4" w:space="0"/>
              <w:bottom w:val="single" w:color="auto" w:sz="8" w:space="0"/>
            </w:tcBorders>
            <w:vAlign w:val="center"/>
          </w:tcPr>
          <w:p w14:paraId="2699E7C7">
            <w:r>
              <w:rPr>
                <w:rFonts w:hint="eastAsia"/>
              </w:rPr>
              <w:t>量程</w:t>
            </w:r>
          </w:p>
        </w:tc>
        <w:tc>
          <w:tcPr>
            <w:tcW w:w="911" w:type="pct"/>
            <w:tcBorders>
              <w:top w:val="single" w:color="auto" w:sz="4" w:space="0"/>
              <w:bottom w:val="single" w:color="auto" w:sz="8" w:space="0"/>
            </w:tcBorders>
            <w:vAlign w:val="center"/>
          </w:tcPr>
          <w:p w14:paraId="795D8466">
            <w:r>
              <w:rPr>
                <w:rFonts w:hint="eastAsia"/>
              </w:rPr>
              <w:t>准确度/分度值</w:t>
            </w:r>
          </w:p>
        </w:tc>
        <w:tc>
          <w:tcPr>
            <w:tcW w:w="601" w:type="pct"/>
            <w:vMerge w:val="continue"/>
            <w:tcBorders>
              <w:bottom w:val="single" w:color="auto" w:sz="8" w:space="0"/>
              <w:right w:val="single" w:color="auto" w:sz="8" w:space="0"/>
            </w:tcBorders>
            <w:vAlign w:val="center"/>
          </w:tcPr>
          <w:p w14:paraId="13AD255C"/>
        </w:tc>
      </w:tr>
      <w:tr w14:paraId="78AA27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top w:val="single" w:color="auto" w:sz="8" w:space="0"/>
              <w:left w:val="single" w:color="auto" w:sz="8" w:space="0"/>
              <w:bottom w:val="single" w:color="auto" w:sz="4" w:space="0"/>
              <w:tl2br w:val="nil"/>
              <w:tr2bl w:val="nil"/>
            </w:tcBorders>
            <w:vAlign w:val="center"/>
          </w:tcPr>
          <w:p w14:paraId="43936C93">
            <w:r>
              <w:rPr>
                <w:rFonts w:hint="eastAsia"/>
                <w:bCs/>
              </w:rPr>
              <w:t>1</w:t>
            </w:r>
          </w:p>
        </w:tc>
        <w:tc>
          <w:tcPr>
            <w:tcW w:w="549" w:type="pct"/>
            <w:vMerge w:val="restart"/>
            <w:tcBorders>
              <w:top w:val="single" w:color="auto" w:sz="8" w:space="0"/>
              <w:tl2br w:val="nil"/>
              <w:tr2bl w:val="nil"/>
            </w:tcBorders>
            <w:vAlign w:val="center"/>
          </w:tcPr>
          <w:p w14:paraId="09B90D5C">
            <w:pPr>
              <w:pStyle w:val="8"/>
              <w:ind w:firstLine="0" w:firstLineChars="0"/>
            </w:pPr>
            <w:r>
              <w:rPr>
                <w:rFonts w:hint="eastAsia"/>
                <w:kern w:val="0"/>
              </w:rPr>
              <w:t>生产</w:t>
            </w:r>
          </w:p>
        </w:tc>
        <w:tc>
          <w:tcPr>
            <w:tcW w:w="811" w:type="pct"/>
            <w:tcBorders>
              <w:top w:val="single" w:color="auto" w:sz="8" w:space="0"/>
              <w:bottom w:val="single" w:color="auto" w:sz="4" w:space="0"/>
              <w:tl2br w:val="nil"/>
              <w:tr2bl w:val="nil"/>
            </w:tcBorders>
            <w:vAlign w:val="center"/>
          </w:tcPr>
          <w:p w14:paraId="1B42409D">
            <w:r>
              <w:rPr>
                <w:rFonts w:hint="eastAsia"/>
                <w:lang w:bidi="ar"/>
              </w:rPr>
              <w:t>绕线机</w:t>
            </w:r>
          </w:p>
        </w:tc>
        <w:tc>
          <w:tcPr>
            <w:tcW w:w="1747" w:type="pct"/>
            <w:tcBorders>
              <w:top w:val="single" w:color="auto" w:sz="8" w:space="0"/>
              <w:bottom w:val="single" w:color="auto" w:sz="4" w:space="0"/>
              <w:tl2br w:val="nil"/>
              <w:tr2bl w:val="nil"/>
            </w:tcBorders>
            <w:vAlign w:val="center"/>
          </w:tcPr>
          <w:p w14:paraId="57B597BB">
            <w:r>
              <w:rPr>
                <w:rFonts w:hint="eastAsia"/>
                <w:kern w:val="0"/>
              </w:rPr>
              <w:t>满足绕线要求</w:t>
            </w:r>
          </w:p>
        </w:tc>
        <w:tc>
          <w:tcPr>
            <w:tcW w:w="911" w:type="pct"/>
            <w:tcBorders>
              <w:top w:val="single" w:color="auto" w:sz="8" w:space="0"/>
              <w:bottom w:val="single" w:color="auto" w:sz="4" w:space="0"/>
              <w:tl2br w:val="nil"/>
              <w:tr2bl w:val="nil"/>
            </w:tcBorders>
            <w:vAlign w:val="center"/>
          </w:tcPr>
          <w:p w14:paraId="6C8AD2D2">
            <w:r>
              <w:rPr>
                <w:rFonts w:hint="eastAsia"/>
                <w:kern w:val="0"/>
              </w:rPr>
              <w:t>—</w:t>
            </w:r>
          </w:p>
        </w:tc>
        <w:tc>
          <w:tcPr>
            <w:tcW w:w="601" w:type="pct"/>
            <w:tcBorders>
              <w:top w:val="single" w:color="auto" w:sz="8" w:space="0"/>
              <w:bottom w:val="single" w:color="auto" w:sz="4" w:space="0"/>
              <w:right w:val="single" w:color="auto" w:sz="8" w:space="0"/>
              <w:tl2br w:val="nil"/>
              <w:tr2bl w:val="nil"/>
            </w:tcBorders>
            <w:vAlign w:val="center"/>
          </w:tcPr>
          <w:p w14:paraId="24C6C617">
            <w:r>
              <w:rPr>
                <w:rFonts w:hint="eastAsia"/>
                <w:kern w:val="0"/>
              </w:rPr>
              <w:t>—</w:t>
            </w:r>
          </w:p>
        </w:tc>
      </w:tr>
      <w:tr w14:paraId="3675FB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top w:val="single" w:color="auto" w:sz="4" w:space="0"/>
              <w:left w:val="single" w:color="auto" w:sz="8" w:space="0"/>
              <w:tl2br w:val="nil"/>
              <w:tr2bl w:val="nil"/>
            </w:tcBorders>
            <w:vAlign w:val="center"/>
          </w:tcPr>
          <w:p w14:paraId="364CD920">
            <w:r>
              <w:rPr>
                <w:rFonts w:hint="eastAsia"/>
                <w:bCs/>
              </w:rPr>
              <w:t>3</w:t>
            </w:r>
          </w:p>
        </w:tc>
        <w:tc>
          <w:tcPr>
            <w:tcW w:w="549" w:type="pct"/>
            <w:vMerge w:val="continue"/>
            <w:tcBorders>
              <w:tl2br w:val="nil"/>
              <w:tr2bl w:val="nil"/>
            </w:tcBorders>
            <w:vAlign w:val="center"/>
          </w:tcPr>
          <w:p w14:paraId="3D328122">
            <w:pPr>
              <w:pStyle w:val="8"/>
              <w:ind w:firstLine="0" w:firstLineChars="0"/>
            </w:pPr>
          </w:p>
        </w:tc>
        <w:tc>
          <w:tcPr>
            <w:tcW w:w="811" w:type="pct"/>
            <w:tcBorders>
              <w:top w:val="single" w:color="auto" w:sz="4" w:space="0"/>
              <w:bottom w:val="single" w:color="auto" w:sz="4" w:space="0"/>
              <w:tl2br w:val="nil"/>
              <w:tr2bl w:val="nil"/>
            </w:tcBorders>
            <w:vAlign w:val="center"/>
          </w:tcPr>
          <w:p w14:paraId="36D26025">
            <w:pPr>
              <w:tabs>
                <w:tab w:val="left" w:pos="-144"/>
                <w:tab w:val="clear" w:pos="0"/>
              </w:tabs>
              <w:ind w:left="-14" w:leftChars="-68" w:right="-92" w:rightChars="-51" w:hanging="108" w:hangingChars="60"/>
              <w:rPr>
                <w:lang w:bidi="ar"/>
              </w:rPr>
            </w:pPr>
            <w:r>
              <w:rPr>
                <w:rFonts w:hint="eastAsia"/>
                <w:lang w:bidi="ar"/>
              </w:rPr>
              <w:t>真空浸漆设备</w:t>
            </w:r>
          </w:p>
          <w:p w14:paraId="5590CD64">
            <w:pPr>
              <w:tabs>
                <w:tab w:val="left" w:pos="-144"/>
                <w:tab w:val="clear" w:pos="0"/>
              </w:tabs>
              <w:ind w:left="-14" w:leftChars="-68" w:right="-92" w:rightChars="-51" w:hanging="108" w:hangingChars="60"/>
            </w:pPr>
            <w:r>
              <w:rPr>
                <w:rFonts w:hint="eastAsia"/>
                <w:lang w:bidi="ar"/>
              </w:rPr>
              <w:t>（包括烘干设备）</w:t>
            </w:r>
          </w:p>
        </w:tc>
        <w:tc>
          <w:tcPr>
            <w:tcW w:w="1747" w:type="pct"/>
            <w:tcBorders>
              <w:top w:val="single" w:color="auto" w:sz="4" w:space="0"/>
              <w:tl2br w:val="nil"/>
              <w:tr2bl w:val="nil"/>
            </w:tcBorders>
            <w:vAlign w:val="center"/>
          </w:tcPr>
          <w:p w14:paraId="2F245F94">
            <w:r>
              <w:rPr>
                <w:rFonts w:hint="eastAsia"/>
                <w:kern w:val="0"/>
              </w:rPr>
              <w:t>—</w:t>
            </w:r>
          </w:p>
        </w:tc>
        <w:tc>
          <w:tcPr>
            <w:tcW w:w="911" w:type="pct"/>
            <w:tcBorders>
              <w:top w:val="single" w:color="auto" w:sz="4" w:space="0"/>
              <w:tl2br w:val="nil"/>
              <w:tr2bl w:val="nil"/>
            </w:tcBorders>
            <w:vAlign w:val="center"/>
          </w:tcPr>
          <w:p w14:paraId="217379F9">
            <w:r>
              <w:rPr>
                <w:rFonts w:hint="eastAsia"/>
                <w:kern w:val="0"/>
              </w:rPr>
              <w:t>—</w:t>
            </w:r>
          </w:p>
        </w:tc>
        <w:tc>
          <w:tcPr>
            <w:tcW w:w="601" w:type="pct"/>
            <w:tcBorders>
              <w:top w:val="single" w:color="auto" w:sz="4" w:space="0"/>
              <w:right w:val="single" w:color="auto" w:sz="8" w:space="0"/>
              <w:tl2br w:val="nil"/>
              <w:tr2bl w:val="nil"/>
            </w:tcBorders>
            <w:vAlign w:val="center"/>
          </w:tcPr>
          <w:p w14:paraId="661B0AB0">
            <w:r>
              <w:rPr>
                <w:rFonts w:hint="eastAsia"/>
                <w:kern w:val="0"/>
              </w:rPr>
              <w:t>—</w:t>
            </w:r>
          </w:p>
        </w:tc>
      </w:tr>
      <w:tr w14:paraId="302A18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left w:val="single" w:color="auto" w:sz="8" w:space="0"/>
              <w:tl2br w:val="nil"/>
              <w:tr2bl w:val="nil"/>
            </w:tcBorders>
            <w:vAlign w:val="center"/>
          </w:tcPr>
          <w:p w14:paraId="08B7C789">
            <w:pPr>
              <w:rPr>
                <w:bCs/>
              </w:rPr>
            </w:pPr>
            <w:r>
              <w:rPr>
                <w:rFonts w:hint="eastAsia"/>
                <w:bCs/>
              </w:rPr>
              <w:t>4</w:t>
            </w:r>
          </w:p>
        </w:tc>
        <w:tc>
          <w:tcPr>
            <w:tcW w:w="549" w:type="pct"/>
            <w:vMerge w:val="continue"/>
            <w:tcBorders>
              <w:tl2br w:val="nil"/>
              <w:tr2bl w:val="nil"/>
            </w:tcBorders>
            <w:vAlign w:val="center"/>
          </w:tcPr>
          <w:p w14:paraId="0D6E9755">
            <w:pPr>
              <w:pStyle w:val="8"/>
              <w:ind w:firstLine="0" w:firstLineChars="0"/>
            </w:pPr>
          </w:p>
        </w:tc>
        <w:tc>
          <w:tcPr>
            <w:tcW w:w="811" w:type="pct"/>
            <w:tcBorders>
              <w:top w:val="single" w:color="auto" w:sz="4" w:space="0"/>
              <w:bottom w:val="single" w:color="auto" w:sz="4" w:space="0"/>
              <w:tl2br w:val="nil"/>
              <w:tr2bl w:val="nil"/>
            </w:tcBorders>
            <w:vAlign w:val="center"/>
          </w:tcPr>
          <w:p w14:paraId="66B05312">
            <w:pPr>
              <w:tabs>
                <w:tab w:val="left" w:pos="-144"/>
                <w:tab w:val="clear" w:pos="0"/>
              </w:tabs>
              <w:ind w:left="-14" w:leftChars="-68" w:right="-92" w:rightChars="-51" w:hanging="108" w:hangingChars="60"/>
              <w:rPr>
                <w:lang w:bidi="ar"/>
              </w:rPr>
            </w:pPr>
            <w:r>
              <w:rPr>
                <w:rFonts w:hint="eastAsia"/>
                <w:lang w:bidi="ar"/>
              </w:rPr>
              <w:t>恒温焊接工具</w:t>
            </w:r>
          </w:p>
        </w:tc>
        <w:tc>
          <w:tcPr>
            <w:tcW w:w="1747" w:type="pct"/>
            <w:tcBorders>
              <w:tl2br w:val="nil"/>
              <w:tr2bl w:val="nil"/>
            </w:tcBorders>
            <w:vAlign w:val="center"/>
          </w:tcPr>
          <w:p w14:paraId="156FC66A">
            <w:pPr>
              <w:rPr>
                <w:kern w:val="0"/>
              </w:rPr>
            </w:pPr>
            <w:r>
              <w:rPr>
                <w:rFonts w:hint="eastAsia"/>
                <w:kern w:val="0"/>
              </w:rPr>
              <w:t>—</w:t>
            </w:r>
          </w:p>
        </w:tc>
        <w:tc>
          <w:tcPr>
            <w:tcW w:w="911" w:type="pct"/>
            <w:tcBorders>
              <w:tl2br w:val="nil"/>
              <w:tr2bl w:val="nil"/>
            </w:tcBorders>
            <w:vAlign w:val="center"/>
          </w:tcPr>
          <w:p w14:paraId="7C1B810F">
            <w:pPr>
              <w:rPr>
                <w:kern w:val="0"/>
              </w:rPr>
            </w:pPr>
            <w:r>
              <w:rPr>
                <w:rFonts w:hint="eastAsia"/>
                <w:kern w:val="0"/>
              </w:rPr>
              <w:t>—</w:t>
            </w:r>
          </w:p>
        </w:tc>
        <w:tc>
          <w:tcPr>
            <w:tcW w:w="601" w:type="pct"/>
            <w:tcBorders>
              <w:right w:val="single" w:color="auto" w:sz="8" w:space="0"/>
              <w:tl2br w:val="nil"/>
              <w:tr2bl w:val="nil"/>
            </w:tcBorders>
            <w:vAlign w:val="center"/>
          </w:tcPr>
          <w:p w14:paraId="46331143">
            <w:pPr>
              <w:rPr>
                <w:kern w:val="0"/>
              </w:rPr>
            </w:pPr>
            <w:r>
              <w:rPr>
                <w:rFonts w:hint="eastAsia"/>
                <w:kern w:val="0"/>
              </w:rPr>
              <w:t>—</w:t>
            </w:r>
          </w:p>
        </w:tc>
      </w:tr>
      <w:tr w14:paraId="3752ED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left w:val="single" w:color="auto" w:sz="8" w:space="0"/>
              <w:tl2br w:val="nil"/>
              <w:tr2bl w:val="nil"/>
            </w:tcBorders>
            <w:vAlign w:val="center"/>
          </w:tcPr>
          <w:p w14:paraId="59EA577C">
            <w:pPr>
              <w:rPr>
                <w:bCs/>
              </w:rPr>
            </w:pPr>
            <w:r>
              <w:rPr>
                <w:rFonts w:hint="eastAsia"/>
                <w:bCs/>
              </w:rPr>
              <w:t>5</w:t>
            </w:r>
          </w:p>
        </w:tc>
        <w:tc>
          <w:tcPr>
            <w:tcW w:w="549" w:type="pct"/>
            <w:vMerge w:val="continue"/>
            <w:tcBorders>
              <w:tl2br w:val="nil"/>
              <w:tr2bl w:val="nil"/>
            </w:tcBorders>
            <w:vAlign w:val="center"/>
          </w:tcPr>
          <w:p w14:paraId="0E2B0DEF">
            <w:pPr>
              <w:pStyle w:val="8"/>
              <w:ind w:firstLine="0" w:firstLineChars="0"/>
            </w:pPr>
          </w:p>
        </w:tc>
        <w:tc>
          <w:tcPr>
            <w:tcW w:w="811" w:type="pct"/>
            <w:tcBorders>
              <w:top w:val="single" w:color="auto" w:sz="4" w:space="0"/>
              <w:bottom w:val="single" w:color="auto" w:sz="4" w:space="0"/>
              <w:tl2br w:val="nil"/>
              <w:tr2bl w:val="nil"/>
            </w:tcBorders>
            <w:vAlign w:val="center"/>
          </w:tcPr>
          <w:p w14:paraId="24C25428">
            <w:pPr>
              <w:tabs>
                <w:tab w:val="left" w:pos="-144"/>
                <w:tab w:val="clear" w:pos="0"/>
              </w:tabs>
              <w:ind w:left="-14" w:leftChars="-68" w:right="-92" w:rightChars="-51" w:hanging="108" w:hangingChars="60"/>
              <w:rPr>
                <w:lang w:bidi="ar"/>
              </w:rPr>
            </w:pPr>
            <w:r>
              <w:rPr>
                <w:rFonts w:hint="eastAsia"/>
                <w:lang w:bidi="ar"/>
              </w:rPr>
              <w:t>自动剥线机</w:t>
            </w:r>
          </w:p>
        </w:tc>
        <w:tc>
          <w:tcPr>
            <w:tcW w:w="1747" w:type="pct"/>
            <w:tcBorders>
              <w:tl2br w:val="nil"/>
              <w:tr2bl w:val="nil"/>
            </w:tcBorders>
            <w:vAlign w:val="center"/>
          </w:tcPr>
          <w:p w14:paraId="4E233D33">
            <w:pPr>
              <w:rPr>
                <w:kern w:val="0"/>
              </w:rPr>
            </w:pPr>
            <w:r>
              <w:rPr>
                <w:rFonts w:hint="eastAsia"/>
                <w:kern w:val="0"/>
              </w:rPr>
              <w:t>—</w:t>
            </w:r>
          </w:p>
        </w:tc>
        <w:tc>
          <w:tcPr>
            <w:tcW w:w="911" w:type="pct"/>
            <w:tcBorders>
              <w:tl2br w:val="nil"/>
              <w:tr2bl w:val="nil"/>
            </w:tcBorders>
            <w:vAlign w:val="center"/>
          </w:tcPr>
          <w:p w14:paraId="38EFAFFC">
            <w:pPr>
              <w:rPr>
                <w:kern w:val="0"/>
              </w:rPr>
            </w:pPr>
            <w:r>
              <w:rPr>
                <w:rFonts w:hint="eastAsia"/>
                <w:kern w:val="0"/>
              </w:rPr>
              <w:t>—</w:t>
            </w:r>
          </w:p>
        </w:tc>
        <w:tc>
          <w:tcPr>
            <w:tcW w:w="601" w:type="pct"/>
            <w:tcBorders>
              <w:right w:val="single" w:color="auto" w:sz="8" w:space="0"/>
              <w:tl2br w:val="nil"/>
              <w:tr2bl w:val="nil"/>
            </w:tcBorders>
            <w:vAlign w:val="center"/>
          </w:tcPr>
          <w:p w14:paraId="5E3F23F2">
            <w:pPr>
              <w:rPr>
                <w:kern w:val="0"/>
              </w:rPr>
            </w:pPr>
            <w:r>
              <w:rPr>
                <w:rFonts w:hint="eastAsia"/>
                <w:kern w:val="0"/>
              </w:rPr>
              <w:t>—</w:t>
            </w:r>
          </w:p>
        </w:tc>
      </w:tr>
      <w:tr w14:paraId="5F6922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top w:val="single" w:color="auto" w:sz="4" w:space="0"/>
              <w:left w:val="single" w:color="auto" w:sz="8" w:space="0"/>
              <w:bottom w:val="single" w:color="auto" w:sz="4" w:space="0"/>
              <w:tl2br w:val="nil"/>
              <w:tr2bl w:val="nil"/>
            </w:tcBorders>
            <w:vAlign w:val="center"/>
          </w:tcPr>
          <w:p w14:paraId="674B7B9C">
            <w:r>
              <w:rPr>
                <w:rFonts w:hint="eastAsia"/>
                <w:bCs/>
              </w:rPr>
              <w:t>6</w:t>
            </w:r>
          </w:p>
        </w:tc>
        <w:tc>
          <w:tcPr>
            <w:tcW w:w="549" w:type="pct"/>
            <w:vMerge w:val="restart"/>
            <w:tcBorders>
              <w:top w:val="single" w:color="auto" w:sz="4" w:space="0"/>
              <w:tl2br w:val="nil"/>
              <w:tr2bl w:val="nil"/>
            </w:tcBorders>
            <w:vAlign w:val="center"/>
          </w:tcPr>
          <w:p w14:paraId="55D21053">
            <w:pPr>
              <w:pStyle w:val="8"/>
              <w:ind w:firstLine="0" w:firstLineChars="0"/>
            </w:pPr>
            <w:r>
              <w:rPr>
                <w:rFonts w:hint="eastAsia"/>
                <w:kern w:val="0"/>
              </w:rPr>
              <w:t>检验</w:t>
            </w:r>
          </w:p>
        </w:tc>
        <w:tc>
          <w:tcPr>
            <w:tcW w:w="811" w:type="pct"/>
            <w:tcBorders>
              <w:top w:val="single" w:color="auto" w:sz="4" w:space="0"/>
              <w:tl2br w:val="nil"/>
              <w:tr2bl w:val="nil"/>
            </w:tcBorders>
            <w:vAlign w:val="center"/>
          </w:tcPr>
          <w:p w14:paraId="76C91545">
            <w:r>
              <w:rPr>
                <w:rFonts w:hint="eastAsia"/>
              </w:rPr>
              <w:t>数字多用表</w:t>
            </w:r>
          </w:p>
        </w:tc>
        <w:tc>
          <w:tcPr>
            <w:tcW w:w="1747" w:type="pct"/>
            <w:tcBorders>
              <w:top w:val="single" w:color="auto" w:sz="4" w:space="0"/>
              <w:tl2br w:val="nil"/>
              <w:tr2bl w:val="nil"/>
            </w:tcBorders>
            <w:vAlign w:val="center"/>
          </w:tcPr>
          <w:p w14:paraId="05EDCDA7">
            <w:pPr>
              <w:numPr>
                <w:ilvl w:val="255"/>
                <w:numId w:val="0"/>
              </w:numPr>
              <w:rPr>
                <w:rFonts w:cstheme="minorEastAsia"/>
              </w:rPr>
            </w:pPr>
            <w:r>
              <w:rPr>
                <w:rFonts w:hint="eastAsia" w:cstheme="minorEastAsia"/>
              </w:rPr>
              <w:t>AC：0 V～</w:t>
            </w:r>
            <w:r>
              <w:rPr>
                <w:rFonts w:cstheme="minorEastAsia"/>
              </w:rPr>
              <w:t>6</w:t>
            </w:r>
            <w:r>
              <w:rPr>
                <w:rFonts w:hint="eastAsia" w:cstheme="minorEastAsia"/>
              </w:rPr>
              <w:t>00 V</w:t>
            </w:r>
          </w:p>
          <w:p w14:paraId="1B41DF18">
            <w:r>
              <w:rPr>
                <w:rFonts w:hint="eastAsia" w:cstheme="minorEastAsia"/>
              </w:rPr>
              <w:t>AC：0 A～</w:t>
            </w:r>
            <w:r>
              <w:rPr>
                <w:rFonts w:cstheme="minorEastAsia"/>
              </w:rPr>
              <w:t>10</w:t>
            </w:r>
            <w:r>
              <w:rPr>
                <w:rFonts w:hint="eastAsia" w:cstheme="minorEastAsia"/>
              </w:rPr>
              <w:t xml:space="preserve"> A</w:t>
            </w:r>
          </w:p>
        </w:tc>
        <w:tc>
          <w:tcPr>
            <w:tcW w:w="911" w:type="pct"/>
            <w:tcBorders>
              <w:top w:val="single" w:color="auto" w:sz="4" w:space="0"/>
              <w:tl2br w:val="nil"/>
              <w:tr2bl w:val="nil"/>
            </w:tcBorders>
            <w:vAlign w:val="center"/>
          </w:tcPr>
          <w:p w14:paraId="49186C44">
            <w:r>
              <w:rPr>
                <w:rFonts w:hint="eastAsia"/>
                <w:kern w:val="0"/>
              </w:rPr>
              <w:t>0</w:t>
            </w:r>
            <w:r>
              <w:rPr>
                <w:kern w:val="0"/>
              </w:rPr>
              <w:t>.5</w:t>
            </w:r>
            <w:r>
              <w:rPr>
                <w:rFonts w:hint="eastAsia"/>
                <w:kern w:val="0"/>
              </w:rPr>
              <w:t>级</w:t>
            </w:r>
          </w:p>
        </w:tc>
        <w:tc>
          <w:tcPr>
            <w:tcW w:w="601" w:type="pct"/>
            <w:tcBorders>
              <w:top w:val="single" w:color="auto" w:sz="4" w:space="0"/>
              <w:right w:val="single" w:color="auto" w:sz="8" w:space="0"/>
              <w:tl2br w:val="nil"/>
              <w:tr2bl w:val="nil"/>
            </w:tcBorders>
            <w:vAlign w:val="center"/>
          </w:tcPr>
          <w:p w14:paraId="48FE50A8">
            <w:r>
              <w:rPr>
                <w:rFonts w:hint="eastAsia"/>
                <w:kern w:val="0"/>
              </w:rPr>
              <w:t>—</w:t>
            </w:r>
          </w:p>
        </w:tc>
      </w:tr>
      <w:tr w14:paraId="15CA98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top w:val="single" w:color="auto" w:sz="4" w:space="0"/>
              <w:left w:val="single" w:color="auto" w:sz="8" w:space="0"/>
              <w:tl2br w:val="nil"/>
              <w:tr2bl w:val="nil"/>
            </w:tcBorders>
            <w:vAlign w:val="center"/>
          </w:tcPr>
          <w:p w14:paraId="5F656640">
            <w:r>
              <w:rPr>
                <w:rFonts w:hint="eastAsia"/>
                <w:bCs/>
              </w:rPr>
              <w:t>7</w:t>
            </w:r>
          </w:p>
        </w:tc>
        <w:tc>
          <w:tcPr>
            <w:tcW w:w="549" w:type="pct"/>
            <w:vMerge w:val="continue"/>
            <w:tcBorders>
              <w:tl2br w:val="nil"/>
              <w:tr2bl w:val="nil"/>
            </w:tcBorders>
            <w:vAlign w:val="center"/>
          </w:tcPr>
          <w:p w14:paraId="50107FB0">
            <w:pPr>
              <w:pStyle w:val="8"/>
              <w:ind w:firstLine="0" w:firstLineChars="0"/>
            </w:pPr>
          </w:p>
        </w:tc>
        <w:tc>
          <w:tcPr>
            <w:tcW w:w="811" w:type="pct"/>
            <w:tcBorders>
              <w:bottom w:val="single" w:color="auto" w:sz="4" w:space="0"/>
              <w:tl2br w:val="nil"/>
              <w:tr2bl w:val="nil"/>
            </w:tcBorders>
            <w:vAlign w:val="center"/>
          </w:tcPr>
          <w:p w14:paraId="23FF65FF">
            <w:r>
              <w:rPr>
                <w:rFonts w:hint="eastAsia"/>
              </w:rPr>
              <w:t>耐压测试仪</w:t>
            </w:r>
          </w:p>
        </w:tc>
        <w:tc>
          <w:tcPr>
            <w:tcW w:w="1747" w:type="pct"/>
            <w:tcBorders>
              <w:bottom w:val="single" w:color="auto" w:sz="4" w:space="0"/>
              <w:tl2br w:val="nil"/>
              <w:tr2bl w:val="nil"/>
            </w:tcBorders>
            <w:vAlign w:val="center"/>
          </w:tcPr>
          <w:p w14:paraId="17F8A00F">
            <w:r>
              <w:t>AC</w:t>
            </w:r>
            <w:r>
              <w:rPr>
                <w:rFonts w:hint="eastAsia"/>
              </w:rPr>
              <w:t>：</w:t>
            </w:r>
            <w:r>
              <w:t>0 kV～5</w:t>
            </w:r>
            <w:r>
              <w:rPr>
                <w:rFonts w:hint="eastAsia"/>
              </w:rPr>
              <w:t xml:space="preserve"> </w:t>
            </w:r>
            <w:r>
              <w:t>kV</w:t>
            </w:r>
          </w:p>
        </w:tc>
        <w:tc>
          <w:tcPr>
            <w:tcW w:w="911" w:type="pct"/>
            <w:tcBorders>
              <w:bottom w:val="single" w:color="auto" w:sz="4" w:space="0"/>
              <w:tl2br w:val="nil"/>
              <w:tr2bl w:val="nil"/>
            </w:tcBorders>
            <w:vAlign w:val="center"/>
          </w:tcPr>
          <w:p w14:paraId="382130AC">
            <w:r>
              <w:rPr>
                <w:rFonts w:hint="eastAsia"/>
              </w:rPr>
              <w:t>±</w:t>
            </w:r>
            <w:r>
              <w:t>5%</w:t>
            </w:r>
          </w:p>
        </w:tc>
        <w:tc>
          <w:tcPr>
            <w:tcW w:w="601" w:type="pct"/>
            <w:tcBorders>
              <w:bottom w:val="single" w:color="auto" w:sz="4" w:space="0"/>
              <w:right w:val="single" w:color="auto" w:sz="8" w:space="0"/>
              <w:tl2br w:val="nil"/>
              <w:tr2bl w:val="nil"/>
            </w:tcBorders>
            <w:vAlign w:val="center"/>
          </w:tcPr>
          <w:p w14:paraId="6C550C6D">
            <w:r>
              <w:rPr>
                <w:rFonts w:hint="eastAsia"/>
                <w:kern w:val="0"/>
              </w:rPr>
              <w:t>—</w:t>
            </w:r>
          </w:p>
        </w:tc>
      </w:tr>
      <w:tr w14:paraId="1275E3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left w:val="single" w:color="auto" w:sz="8" w:space="0"/>
              <w:bottom w:val="single" w:color="auto" w:sz="4" w:space="0"/>
              <w:tl2br w:val="nil"/>
              <w:tr2bl w:val="nil"/>
            </w:tcBorders>
            <w:vAlign w:val="center"/>
          </w:tcPr>
          <w:p w14:paraId="184B22E1">
            <w:r>
              <w:rPr>
                <w:rFonts w:hint="eastAsia"/>
                <w:bCs/>
              </w:rPr>
              <w:t>8</w:t>
            </w:r>
          </w:p>
        </w:tc>
        <w:tc>
          <w:tcPr>
            <w:tcW w:w="549" w:type="pct"/>
            <w:vMerge w:val="continue"/>
            <w:tcBorders>
              <w:tl2br w:val="nil"/>
              <w:tr2bl w:val="nil"/>
            </w:tcBorders>
            <w:vAlign w:val="center"/>
          </w:tcPr>
          <w:p w14:paraId="1585DA6C">
            <w:pPr>
              <w:pStyle w:val="8"/>
              <w:ind w:firstLine="0" w:firstLineChars="0"/>
            </w:pPr>
          </w:p>
        </w:tc>
        <w:tc>
          <w:tcPr>
            <w:tcW w:w="811" w:type="pct"/>
            <w:tcBorders>
              <w:top w:val="single" w:color="auto" w:sz="4" w:space="0"/>
              <w:bottom w:val="single" w:color="auto" w:sz="4" w:space="0"/>
              <w:tl2br w:val="nil"/>
              <w:tr2bl w:val="nil"/>
            </w:tcBorders>
            <w:vAlign w:val="center"/>
          </w:tcPr>
          <w:p w14:paraId="4B191C0E">
            <w:r>
              <w:rPr>
                <w:rFonts w:hint="eastAsia"/>
              </w:rPr>
              <w:t>绝缘电阻测试仪</w:t>
            </w:r>
          </w:p>
        </w:tc>
        <w:tc>
          <w:tcPr>
            <w:tcW w:w="1747" w:type="pct"/>
            <w:tcBorders>
              <w:top w:val="single" w:color="auto" w:sz="4" w:space="0"/>
              <w:bottom w:val="single" w:color="auto" w:sz="4" w:space="0"/>
              <w:tl2br w:val="nil"/>
              <w:tr2bl w:val="nil"/>
            </w:tcBorders>
            <w:vAlign w:val="center"/>
          </w:tcPr>
          <w:p w14:paraId="1D560F1E">
            <w:r>
              <w:t>500 V 1 000 MΩ</w:t>
            </w:r>
          </w:p>
        </w:tc>
        <w:tc>
          <w:tcPr>
            <w:tcW w:w="911" w:type="pct"/>
            <w:tcBorders>
              <w:top w:val="single" w:color="auto" w:sz="4" w:space="0"/>
              <w:bottom w:val="single" w:color="auto" w:sz="4" w:space="0"/>
              <w:tl2br w:val="nil"/>
              <w:tr2bl w:val="nil"/>
            </w:tcBorders>
            <w:vAlign w:val="center"/>
          </w:tcPr>
          <w:p w14:paraId="098EB710">
            <w:r>
              <w:rPr>
                <w:rFonts w:hint="eastAsia"/>
              </w:rPr>
              <w:t>±</w:t>
            </w:r>
            <w:r>
              <w:t>10%</w:t>
            </w:r>
          </w:p>
        </w:tc>
        <w:tc>
          <w:tcPr>
            <w:tcW w:w="601" w:type="pct"/>
            <w:tcBorders>
              <w:top w:val="single" w:color="auto" w:sz="4" w:space="0"/>
              <w:bottom w:val="single" w:color="auto" w:sz="4" w:space="0"/>
              <w:right w:val="single" w:color="auto" w:sz="8" w:space="0"/>
              <w:tl2br w:val="nil"/>
              <w:tr2bl w:val="nil"/>
            </w:tcBorders>
            <w:vAlign w:val="center"/>
          </w:tcPr>
          <w:p w14:paraId="43118707">
            <w:r>
              <w:rPr>
                <w:rFonts w:hint="eastAsia"/>
                <w:kern w:val="0"/>
              </w:rPr>
              <w:t>—</w:t>
            </w:r>
          </w:p>
        </w:tc>
      </w:tr>
      <w:tr w14:paraId="7500F3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tcBorders>
              <w:top w:val="single" w:color="auto" w:sz="4" w:space="0"/>
              <w:left w:val="single" w:color="auto" w:sz="8" w:space="0"/>
              <w:tl2br w:val="nil"/>
              <w:tr2bl w:val="nil"/>
            </w:tcBorders>
            <w:vAlign w:val="center"/>
          </w:tcPr>
          <w:p w14:paraId="456CBDE5">
            <w:pPr>
              <w:rPr>
                <w:bCs/>
              </w:rPr>
            </w:pPr>
            <w:r>
              <w:rPr>
                <w:bCs/>
              </w:rPr>
              <w:t>9</w:t>
            </w:r>
          </w:p>
        </w:tc>
        <w:tc>
          <w:tcPr>
            <w:tcW w:w="549" w:type="pct"/>
            <w:vMerge w:val="continue"/>
            <w:tcBorders>
              <w:tl2br w:val="nil"/>
              <w:tr2bl w:val="nil"/>
            </w:tcBorders>
            <w:vAlign w:val="center"/>
          </w:tcPr>
          <w:p w14:paraId="77BDCBDC">
            <w:pPr>
              <w:pStyle w:val="8"/>
              <w:ind w:firstLine="360"/>
            </w:pPr>
          </w:p>
        </w:tc>
        <w:tc>
          <w:tcPr>
            <w:tcW w:w="811" w:type="pct"/>
            <w:tcBorders>
              <w:top w:val="single" w:color="auto" w:sz="4" w:space="0"/>
              <w:bottom w:val="single" w:color="auto" w:sz="4" w:space="0"/>
              <w:tl2br w:val="nil"/>
              <w:tr2bl w:val="nil"/>
            </w:tcBorders>
            <w:vAlign w:val="center"/>
          </w:tcPr>
          <w:p w14:paraId="4742B6AD">
            <w:r>
              <w:rPr>
                <w:rFonts w:hint="eastAsia"/>
              </w:rPr>
              <w:t>L</w:t>
            </w:r>
            <w:r>
              <w:t>CR</w:t>
            </w:r>
            <w:r>
              <w:rPr>
                <w:rFonts w:hint="eastAsia"/>
              </w:rPr>
              <w:t>数字电桥</w:t>
            </w:r>
          </w:p>
        </w:tc>
        <w:tc>
          <w:tcPr>
            <w:tcW w:w="1747" w:type="pct"/>
            <w:tcBorders>
              <w:top w:val="single" w:color="auto" w:sz="4" w:space="0"/>
              <w:tl2br w:val="nil"/>
              <w:tr2bl w:val="nil"/>
            </w:tcBorders>
            <w:vAlign w:val="center"/>
          </w:tcPr>
          <w:p w14:paraId="6566D925">
            <w:r>
              <w:t>2.电容C测量范围：10 pF～1 mF</w:t>
            </w:r>
          </w:p>
        </w:tc>
        <w:tc>
          <w:tcPr>
            <w:tcW w:w="911" w:type="pct"/>
            <w:tcBorders>
              <w:top w:val="single" w:color="auto" w:sz="4" w:space="0"/>
              <w:tl2br w:val="nil"/>
              <w:tr2bl w:val="nil"/>
            </w:tcBorders>
            <w:vAlign w:val="center"/>
          </w:tcPr>
          <w:p w14:paraId="35A55987">
            <w:pPr>
              <w:rPr>
                <w:kern w:val="0"/>
              </w:rPr>
            </w:pPr>
            <w:r>
              <w:t>C：(1%被测值)pF±10 pF</w:t>
            </w:r>
          </w:p>
        </w:tc>
        <w:tc>
          <w:tcPr>
            <w:tcW w:w="601" w:type="pct"/>
            <w:tcBorders>
              <w:top w:val="single" w:color="auto" w:sz="4" w:space="0"/>
              <w:right w:val="single" w:color="auto" w:sz="8" w:space="0"/>
              <w:tl2br w:val="nil"/>
              <w:tr2bl w:val="nil"/>
            </w:tcBorders>
            <w:vAlign w:val="center"/>
          </w:tcPr>
          <w:p w14:paraId="236857E7">
            <w:pPr>
              <w:rPr>
                <w:kern w:val="0"/>
              </w:rPr>
            </w:pPr>
            <w:r>
              <w:rPr>
                <w:rFonts w:hint="eastAsia"/>
                <w:kern w:val="0"/>
              </w:rPr>
              <w:t>—</w:t>
            </w:r>
          </w:p>
        </w:tc>
      </w:tr>
    </w:tbl>
    <w:p w14:paraId="2FFF1233">
      <w:pPr>
        <w:pStyle w:val="53"/>
      </w:pPr>
      <w:r>
        <w:rPr>
          <w:rFonts w:hint="eastAsia"/>
        </w:rPr>
        <w:t>零部件和材料</w:t>
      </w:r>
      <w:bookmarkEnd w:id="55"/>
    </w:p>
    <w:bookmarkEnd w:id="56"/>
    <w:p w14:paraId="676A0238">
      <w:pPr>
        <w:pStyle w:val="31"/>
        <w:spacing w:before="156" w:beforeLines="50" w:after="156" w:afterLines="50"/>
        <w:rPr>
          <w:rFonts w:ascii="宋体" w:hAnsi="宋体"/>
          <w:kern w:val="2"/>
          <w:szCs w:val="21"/>
        </w:rPr>
      </w:pPr>
      <w:r>
        <w:rPr>
          <w:rFonts w:hint="eastAsia" w:ascii="宋体" w:hAnsi="宋体"/>
          <w:kern w:val="2"/>
          <w:szCs w:val="21"/>
        </w:rPr>
        <w:t>具备关键零部件、材料应满足表</w:t>
      </w:r>
      <w:r>
        <w:rPr>
          <w:rFonts w:ascii="宋体" w:hAnsi="宋体"/>
          <w:kern w:val="2"/>
          <w:szCs w:val="21"/>
        </w:rPr>
        <w:t>3</w:t>
      </w:r>
      <w:r>
        <w:rPr>
          <w:rFonts w:hint="eastAsia" w:ascii="宋体" w:hAnsi="宋体"/>
          <w:kern w:val="2"/>
          <w:szCs w:val="21"/>
        </w:rPr>
        <w:t>的要求。</w:t>
      </w:r>
    </w:p>
    <w:bookmarkEnd w:id="57"/>
    <w:p w14:paraId="68E41A6C">
      <w:pPr>
        <w:pStyle w:val="31"/>
        <w:spacing w:before="156" w:beforeLines="50" w:after="156" w:afterLines="50"/>
        <w:ind w:firstLine="0" w:firstLineChars="0"/>
        <w:jc w:val="center"/>
        <w:rPr>
          <w:rFonts w:ascii="黑体" w:hAnsi="黑体" w:eastAsia="黑体" w:cs="黑体"/>
        </w:rPr>
      </w:pPr>
      <w:bookmarkStart w:id="58" w:name="_Hlk184644227"/>
      <w:r>
        <w:rPr>
          <w:rFonts w:hint="eastAsia" w:ascii="黑体" w:hAnsi="黑体" w:eastAsia="黑体" w:cs="黑体"/>
        </w:rPr>
        <w:t>表</w:t>
      </w:r>
      <w:r>
        <w:rPr>
          <w:rFonts w:ascii="黑体" w:hAnsi="黑体" w:eastAsia="黑体" w:cs="黑体"/>
        </w:rPr>
        <w:t>3  关键零部件和材料</w:t>
      </w:r>
    </w:p>
    <w:bookmarkEnd w:id="58"/>
    <w:tbl>
      <w:tblPr>
        <w:tblStyle w:val="25"/>
        <w:tblW w:w="5000" w:type="pct"/>
        <w:jc w:val="center"/>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82"/>
        <w:gridCol w:w="724"/>
        <w:gridCol w:w="1778"/>
        <w:gridCol w:w="2004"/>
        <w:gridCol w:w="3183"/>
      </w:tblGrid>
      <w:tr w14:paraId="382C27CA">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983" w:type="pct"/>
            <w:tcBorders>
              <w:top w:val="single" w:color="auto" w:sz="8" w:space="0"/>
              <w:bottom w:val="single" w:color="auto" w:sz="8" w:space="0"/>
            </w:tcBorders>
            <w:vAlign w:val="center"/>
          </w:tcPr>
          <w:p w14:paraId="21EF8C1C">
            <w:bookmarkStart w:id="59" w:name="_Toc153543031"/>
            <w:bookmarkEnd w:id="59"/>
            <w:bookmarkStart w:id="60" w:name="_Toc153543089"/>
            <w:bookmarkEnd w:id="60"/>
            <w:bookmarkStart w:id="61" w:name="_Toc153543037"/>
            <w:bookmarkEnd w:id="61"/>
            <w:bookmarkStart w:id="62" w:name="_Toc153543064"/>
            <w:bookmarkEnd w:id="62"/>
            <w:bookmarkStart w:id="63" w:name="_Toc153543053"/>
            <w:bookmarkEnd w:id="63"/>
            <w:bookmarkStart w:id="64" w:name="_Toc153543058"/>
            <w:bookmarkEnd w:id="64"/>
            <w:bookmarkStart w:id="65" w:name="_Toc153543038"/>
            <w:bookmarkEnd w:id="65"/>
            <w:bookmarkStart w:id="66" w:name="_Toc153543072"/>
            <w:bookmarkEnd w:id="66"/>
            <w:bookmarkStart w:id="67" w:name="_Toc153543069"/>
            <w:bookmarkEnd w:id="67"/>
            <w:bookmarkStart w:id="68" w:name="_Toc153543080"/>
            <w:bookmarkEnd w:id="68"/>
            <w:bookmarkStart w:id="69" w:name="_Toc153543057"/>
            <w:bookmarkEnd w:id="69"/>
            <w:bookmarkStart w:id="70" w:name="_Toc153543019"/>
            <w:bookmarkEnd w:id="70"/>
            <w:bookmarkStart w:id="71" w:name="_Toc153543029"/>
            <w:bookmarkEnd w:id="71"/>
            <w:bookmarkStart w:id="72" w:name="_Toc153543050"/>
            <w:bookmarkEnd w:id="72"/>
            <w:bookmarkStart w:id="73" w:name="_Toc153543044"/>
            <w:bookmarkEnd w:id="73"/>
            <w:bookmarkStart w:id="74" w:name="_Toc153543045"/>
            <w:bookmarkEnd w:id="74"/>
            <w:bookmarkStart w:id="75" w:name="_Toc153543033"/>
            <w:bookmarkEnd w:id="75"/>
            <w:bookmarkStart w:id="76" w:name="_Toc153543049"/>
            <w:bookmarkEnd w:id="76"/>
            <w:bookmarkStart w:id="77" w:name="_Toc153543023"/>
            <w:bookmarkEnd w:id="77"/>
            <w:bookmarkStart w:id="78" w:name="_Toc153543040"/>
            <w:bookmarkEnd w:id="78"/>
            <w:bookmarkStart w:id="79" w:name="_Toc153543021"/>
            <w:bookmarkEnd w:id="79"/>
            <w:bookmarkStart w:id="80" w:name="_Toc153543071"/>
            <w:bookmarkEnd w:id="80"/>
            <w:bookmarkStart w:id="81" w:name="_Toc153543079"/>
            <w:bookmarkEnd w:id="81"/>
            <w:bookmarkStart w:id="82" w:name="_Toc153543024"/>
            <w:bookmarkEnd w:id="82"/>
            <w:bookmarkStart w:id="83" w:name="_Toc153543084"/>
            <w:bookmarkEnd w:id="83"/>
            <w:bookmarkStart w:id="84" w:name="_Toc153543065"/>
            <w:bookmarkEnd w:id="84"/>
            <w:bookmarkStart w:id="85" w:name="_Toc153543093"/>
            <w:bookmarkEnd w:id="85"/>
            <w:bookmarkStart w:id="86" w:name="_Toc153543087"/>
            <w:bookmarkEnd w:id="86"/>
            <w:bookmarkStart w:id="87" w:name="_Toc153543088"/>
            <w:bookmarkEnd w:id="87"/>
            <w:bookmarkStart w:id="88" w:name="_Toc153543061"/>
            <w:bookmarkEnd w:id="88"/>
            <w:bookmarkStart w:id="89" w:name="_Toc153543035"/>
            <w:bookmarkEnd w:id="89"/>
            <w:bookmarkStart w:id="90" w:name="_Toc153543062"/>
            <w:bookmarkEnd w:id="90"/>
            <w:bookmarkStart w:id="91" w:name="_Toc153543051"/>
            <w:bookmarkEnd w:id="91"/>
            <w:bookmarkStart w:id="92" w:name="_Toc153543007"/>
            <w:bookmarkEnd w:id="92"/>
            <w:bookmarkStart w:id="93" w:name="_Toc153543039"/>
            <w:bookmarkEnd w:id="93"/>
            <w:bookmarkStart w:id="94" w:name="_Toc153543059"/>
            <w:bookmarkEnd w:id="94"/>
            <w:bookmarkStart w:id="95" w:name="_Toc153543047"/>
            <w:bookmarkEnd w:id="95"/>
            <w:bookmarkStart w:id="96" w:name="_Toc153543096"/>
            <w:bookmarkEnd w:id="96"/>
            <w:bookmarkStart w:id="97" w:name="_Toc153543042"/>
            <w:bookmarkEnd w:id="97"/>
            <w:bookmarkStart w:id="98" w:name="_Toc153543048"/>
            <w:bookmarkEnd w:id="98"/>
            <w:bookmarkStart w:id="99" w:name="_Toc153543082"/>
            <w:bookmarkEnd w:id="99"/>
            <w:bookmarkStart w:id="100" w:name="_Toc153543006"/>
            <w:bookmarkEnd w:id="100"/>
            <w:bookmarkStart w:id="101" w:name="_Toc153543008"/>
            <w:bookmarkEnd w:id="101"/>
            <w:bookmarkStart w:id="102" w:name="_Toc153543090"/>
            <w:bookmarkEnd w:id="102"/>
            <w:bookmarkStart w:id="103" w:name="_Toc153543011"/>
            <w:bookmarkEnd w:id="103"/>
            <w:bookmarkStart w:id="104" w:name="_Toc153543070"/>
            <w:bookmarkEnd w:id="104"/>
            <w:bookmarkStart w:id="105" w:name="_Toc153543068"/>
            <w:bookmarkEnd w:id="105"/>
            <w:bookmarkStart w:id="106" w:name="_Toc153543085"/>
            <w:bookmarkEnd w:id="106"/>
            <w:bookmarkStart w:id="107" w:name="_Toc153543056"/>
            <w:bookmarkEnd w:id="107"/>
            <w:bookmarkStart w:id="108" w:name="_Toc153543067"/>
            <w:bookmarkEnd w:id="108"/>
            <w:bookmarkStart w:id="109" w:name="_Toc153543032"/>
            <w:bookmarkEnd w:id="109"/>
            <w:bookmarkStart w:id="110" w:name="_Toc153543086"/>
            <w:bookmarkEnd w:id="110"/>
            <w:bookmarkStart w:id="111" w:name="_Toc153543092"/>
            <w:bookmarkEnd w:id="111"/>
            <w:bookmarkStart w:id="112" w:name="_Toc153543018"/>
            <w:bookmarkEnd w:id="112"/>
            <w:bookmarkStart w:id="113" w:name="_Toc153543081"/>
            <w:bookmarkEnd w:id="113"/>
            <w:bookmarkStart w:id="114" w:name="_Toc153543075"/>
            <w:bookmarkEnd w:id="114"/>
            <w:bookmarkStart w:id="115" w:name="_Toc153543034"/>
            <w:bookmarkEnd w:id="115"/>
            <w:bookmarkStart w:id="116" w:name="_Toc153543060"/>
            <w:bookmarkEnd w:id="116"/>
            <w:bookmarkStart w:id="117" w:name="_Toc153543046"/>
            <w:bookmarkEnd w:id="117"/>
            <w:bookmarkStart w:id="118" w:name="_Toc153543036"/>
            <w:bookmarkEnd w:id="118"/>
            <w:bookmarkStart w:id="119" w:name="_Toc153543098"/>
            <w:bookmarkEnd w:id="119"/>
            <w:bookmarkStart w:id="120" w:name="_Toc153543030"/>
            <w:bookmarkEnd w:id="120"/>
            <w:bookmarkStart w:id="121" w:name="_Toc153543077"/>
            <w:bookmarkEnd w:id="121"/>
            <w:bookmarkStart w:id="122" w:name="_Toc153543020"/>
            <w:bookmarkEnd w:id="122"/>
            <w:bookmarkStart w:id="123" w:name="_Toc153543074"/>
            <w:bookmarkEnd w:id="123"/>
            <w:bookmarkStart w:id="124" w:name="_Toc153543052"/>
            <w:bookmarkEnd w:id="124"/>
            <w:bookmarkStart w:id="125" w:name="_Toc153543063"/>
            <w:bookmarkEnd w:id="125"/>
            <w:bookmarkStart w:id="126" w:name="_Toc153543095"/>
            <w:bookmarkEnd w:id="126"/>
            <w:bookmarkStart w:id="127" w:name="_Toc153543041"/>
            <w:bookmarkEnd w:id="127"/>
            <w:bookmarkStart w:id="128" w:name="_Toc153543091"/>
            <w:bookmarkEnd w:id="128"/>
            <w:bookmarkStart w:id="129" w:name="_Toc153543066"/>
            <w:bookmarkEnd w:id="129"/>
            <w:bookmarkStart w:id="130" w:name="_Toc153543083"/>
            <w:bookmarkEnd w:id="130"/>
            <w:bookmarkStart w:id="131" w:name="_Toc153543043"/>
            <w:bookmarkEnd w:id="131"/>
            <w:bookmarkStart w:id="132" w:name="_Toc153543078"/>
            <w:bookmarkEnd w:id="132"/>
            <w:bookmarkStart w:id="133" w:name="_Toc153543022"/>
            <w:bookmarkEnd w:id="133"/>
            <w:bookmarkStart w:id="134" w:name="_Toc153543055"/>
            <w:bookmarkEnd w:id="134"/>
            <w:bookmarkStart w:id="135" w:name="_Toc153543094"/>
            <w:bookmarkEnd w:id="135"/>
            <w:bookmarkStart w:id="136" w:name="_Toc153543076"/>
            <w:bookmarkEnd w:id="136"/>
            <w:bookmarkStart w:id="137" w:name="_Toc153543054"/>
            <w:bookmarkEnd w:id="137"/>
            <w:bookmarkStart w:id="138" w:name="_Toc153543097"/>
            <w:bookmarkEnd w:id="138"/>
            <w:bookmarkStart w:id="139" w:name="_Toc20213"/>
            <w:r>
              <w:rPr>
                <w:rFonts w:hint="eastAsia"/>
              </w:rPr>
              <w:t>产品名称</w:t>
            </w:r>
          </w:p>
        </w:tc>
        <w:tc>
          <w:tcPr>
            <w:tcW w:w="378" w:type="pct"/>
            <w:tcBorders>
              <w:top w:val="single" w:color="auto" w:sz="8" w:space="0"/>
              <w:bottom w:val="single" w:color="auto" w:sz="8" w:space="0"/>
            </w:tcBorders>
            <w:vAlign w:val="center"/>
          </w:tcPr>
          <w:p w14:paraId="7DDEC94A">
            <w:r>
              <w:rPr>
                <w:rFonts w:hint="eastAsia"/>
              </w:rPr>
              <w:t>序号</w:t>
            </w:r>
          </w:p>
        </w:tc>
        <w:tc>
          <w:tcPr>
            <w:tcW w:w="929" w:type="pct"/>
            <w:tcBorders>
              <w:top w:val="single" w:color="auto" w:sz="8" w:space="0"/>
              <w:bottom w:val="single" w:color="auto" w:sz="8" w:space="0"/>
            </w:tcBorders>
            <w:vAlign w:val="center"/>
          </w:tcPr>
          <w:p w14:paraId="66DD102B">
            <w:r>
              <w:rPr>
                <w:rFonts w:hint="eastAsia"/>
              </w:rPr>
              <w:t>零部件/材料名称</w:t>
            </w:r>
          </w:p>
        </w:tc>
        <w:tc>
          <w:tcPr>
            <w:tcW w:w="1047" w:type="pct"/>
            <w:tcBorders>
              <w:top w:val="single" w:color="auto" w:sz="8" w:space="0"/>
              <w:bottom w:val="single" w:color="auto" w:sz="8" w:space="0"/>
            </w:tcBorders>
            <w:vAlign w:val="center"/>
          </w:tcPr>
          <w:p w14:paraId="49C23E3A">
            <w:r>
              <w:rPr>
                <w:rFonts w:hint="eastAsia"/>
              </w:rPr>
              <w:t>对应标准编号</w:t>
            </w:r>
          </w:p>
        </w:tc>
        <w:tc>
          <w:tcPr>
            <w:tcW w:w="1663" w:type="pct"/>
            <w:tcBorders>
              <w:top w:val="single" w:color="auto" w:sz="8" w:space="0"/>
              <w:bottom w:val="single" w:color="auto" w:sz="8" w:space="0"/>
            </w:tcBorders>
            <w:vAlign w:val="center"/>
          </w:tcPr>
          <w:p w14:paraId="3BDA1388">
            <w:r>
              <w:rPr>
                <w:rFonts w:hint="eastAsia"/>
              </w:rPr>
              <w:t>控制项目</w:t>
            </w:r>
          </w:p>
        </w:tc>
      </w:tr>
      <w:tr w14:paraId="16B01BD5">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83" w:type="pct"/>
            <w:vMerge w:val="restart"/>
            <w:tcBorders>
              <w:top w:val="single" w:color="auto" w:sz="8" w:space="0"/>
            </w:tcBorders>
            <w:vAlign w:val="center"/>
          </w:tcPr>
          <w:p w14:paraId="10FF52FE">
            <w:r>
              <w:t>隔离器</w:t>
            </w:r>
          </w:p>
        </w:tc>
        <w:tc>
          <w:tcPr>
            <w:tcW w:w="378" w:type="pct"/>
            <w:tcBorders>
              <w:top w:val="single" w:color="auto" w:sz="8" w:space="0"/>
            </w:tcBorders>
            <w:vAlign w:val="center"/>
          </w:tcPr>
          <w:p w14:paraId="2E1F8F40">
            <w:r>
              <w:rPr>
                <w:rFonts w:hint="eastAsia"/>
              </w:rPr>
              <w:t>1</w:t>
            </w:r>
          </w:p>
        </w:tc>
        <w:tc>
          <w:tcPr>
            <w:tcW w:w="929" w:type="pct"/>
            <w:tcBorders>
              <w:top w:val="single" w:color="auto" w:sz="8" w:space="0"/>
            </w:tcBorders>
            <w:vAlign w:val="center"/>
          </w:tcPr>
          <w:p w14:paraId="0BC74DD7">
            <w:r>
              <w:rPr>
                <w:rFonts w:hint="eastAsia"/>
              </w:rPr>
              <w:t>塑料外壳</w:t>
            </w:r>
          </w:p>
        </w:tc>
        <w:tc>
          <w:tcPr>
            <w:tcW w:w="1047" w:type="pct"/>
            <w:vMerge w:val="restart"/>
            <w:tcBorders>
              <w:top w:val="single" w:color="auto" w:sz="8" w:space="0"/>
            </w:tcBorders>
            <w:vAlign w:val="center"/>
          </w:tcPr>
          <w:p w14:paraId="7801DE6F">
            <w:r>
              <w:rPr>
                <w:rFonts w:hint="eastAsia"/>
              </w:rPr>
              <w:t>TB/T 3112.4—2017</w:t>
            </w:r>
          </w:p>
        </w:tc>
        <w:tc>
          <w:tcPr>
            <w:tcW w:w="1663" w:type="pct"/>
            <w:tcBorders>
              <w:top w:val="single" w:color="auto" w:sz="8" w:space="0"/>
            </w:tcBorders>
            <w:vAlign w:val="center"/>
          </w:tcPr>
          <w:p w14:paraId="7ABF4467">
            <w:r>
              <w:rPr>
                <w:rFonts w:hint="eastAsia"/>
                <w:szCs w:val="21"/>
              </w:rPr>
              <w:t>牌号、制造企业</w:t>
            </w:r>
          </w:p>
        </w:tc>
      </w:tr>
      <w:tr w14:paraId="5AD1991F">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 w:hRule="atLeast"/>
          <w:jc w:val="center"/>
        </w:trPr>
        <w:tc>
          <w:tcPr>
            <w:tcW w:w="983" w:type="pct"/>
            <w:vMerge w:val="continue"/>
            <w:tcBorders>
              <w:top w:val="single" w:color="auto" w:sz="4" w:space="0"/>
            </w:tcBorders>
            <w:vAlign w:val="center"/>
          </w:tcPr>
          <w:p w14:paraId="4B432BA7"/>
        </w:tc>
        <w:tc>
          <w:tcPr>
            <w:tcW w:w="378" w:type="pct"/>
            <w:tcBorders>
              <w:top w:val="single" w:color="auto" w:sz="4" w:space="0"/>
            </w:tcBorders>
            <w:vAlign w:val="center"/>
          </w:tcPr>
          <w:p w14:paraId="6AEE75D7">
            <w:r>
              <w:rPr>
                <w:rFonts w:hint="eastAsia"/>
              </w:rPr>
              <w:t>2</w:t>
            </w:r>
          </w:p>
        </w:tc>
        <w:tc>
          <w:tcPr>
            <w:tcW w:w="929" w:type="pct"/>
            <w:tcBorders>
              <w:top w:val="single" w:color="auto" w:sz="4" w:space="0"/>
            </w:tcBorders>
            <w:vAlign w:val="center"/>
          </w:tcPr>
          <w:p w14:paraId="592BA095">
            <w:r>
              <w:rPr>
                <w:rFonts w:hint="eastAsia"/>
              </w:rPr>
              <w:t>接线端子</w:t>
            </w:r>
          </w:p>
        </w:tc>
        <w:tc>
          <w:tcPr>
            <w:tcW w:w="1047" w:type="pct"/>
            <w:vMerge w:val="continue"/>
            <w:tcBorders>
              <w:top w:val="single" w:color="auto" w:sz="4" w:space="0"/>
            </w:tcBorders>
            <w:vAlign w:val="center"/>
          </w:tcPr>
          <w:p w14:paraId="79BC481F"/>
        </w:tc>
        <w:tc>
          <w:tcPr>
            <w:tcW w:w="1663" w:type="pct"/>
            <w:tcBorders>
              <w:top w:val="single" w:color="auto" w:sz="4" w:space="0"/>
            </w:tcBorders>
            <w:vAlign w:val="center"/>
          </w:tcPr>
          <w:p w14:paraId="4727BEDA">
            <w:pPr>
              <w:rPr>
                <w:szCs w:val="21"/>
              </w:rPr>
            </w:pPr>
            <w:r>
              <w:rPr>
                <w:rFonts w:hint="eastAsia"/>
                <w:szCs w:val="21"/>
              </w:rPr>
              <w:t>牌号、制造企业</w:t>
            </w:r>
          </w:p>
        </w:tc>
      </w:tr>
      <w:tr w14:paraId="162B092A">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 w:hRule="atLeast"/>
          <w:jc w:val="center"/>
        </w:trPr>
        <w:tc>
          <w:tcPr>
            <w:tcW w:w="983" w:type="pct"/>
            <w:vMerge w:val="continue"/>
            <w:tcBorders>
              <w:top w:val="single" w:color="auto" w:sz="4" w:space="0"/>
            </w:tcBorders>
            <w:vAlign w:val="center"/>
          </w:tcPr>
          <w:p w14:paraId="35EC11A1"/>
        </w:tc>
        <w:tc>
          <w:tcPr>
            <w:tcW w:w="378" w:type="pct"/>
            <w:tcBorders>
              <w:top w:val="single" w:color="auto" w:sz="4" w:space="0"/>
            </w:tcBorders>
            <w:vAlign w:val="center"/>
          </w:tcPr>
          <w:p w14:paraId="3C6D1F63">
            <w:r>
              <w:rPr>
                <w:rFonts w:hint="eastAsia"/>
              </w:rPr>
              <w:t>3</w:t>
            </w:r>
          </w:p>
        </w:tc>
        <w:tc>
          <w:tcPr>
            <w:tcW w:w="929" w:type="pct"/>
            <w:tcBorders>
              <w:top w:val="single" w:color="auto" w:sz="4" w:space="0"/>
            </w:tcBorders>
            <w:vAlign w:val="center"/>
          </w:tcPr>
          <w:p w14:paraId="4159E0E5">
            <w:r>
              <w:rPr>
                <w:rFonts w:hint="eastAsia"/>
              </w:rPr>
              <w:t>绝缘漆</w:t>
            </w:r>
          </w:p>
        </w:tc>
        <w:tc>
          <w:tcPr>
            <w:tcW w:w="1047" w:type="pct"/>
            <w:vMerge w:val="continue"/>
            <w:tcBorders>
              <w:top w:val="single" w:color="auto" w:sz="4" w:space="0"/>
            </w:tcBorders>
            <w:vAlign w:val="center"/>
          </w:tcPr>
          <w:p w14:paraId="3015996B"/>
        </w:tc>
        <w:tc>
          <w:tcPr>
            <w:tcW w:w="1663" w:type="pct"/>
            <w:tcBorders>
              <w:top w:val="single" w:color="auto" w:sz="4" w:space="0"/>
            </w:tcBorders>
            <w:vAlign w:val="center"/>
          </w:tcPr>
          <w:p w14:paraId="47AB6ABF">
            <w:pPr>
              <w:rPr>
                <w:szCs w:val="21"/>
              </w:rPr>
            </w:pPr>
            <w:r>
              <w:rPr>
                <w:rFonts w:hint="eastAsia"/>
                <w:szCs w:val="21"/>
              </w:rPr>
              <w:t>牌号、制造企业</w:t>
            </w:r>
          </w:p>
        </w:tc>
      </w:tr>
      <w:tr w14:paraId="6C5A4DA3">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 w:hRule="atLeast"/>
          <w:jc w:val="center"/>
        </w:trPr>
        <w:tc>
          <w:tcPr>
            <w:tcW w:w="983" w:type="pct"/>
            <w:vMerge w:val="continue"/>
            <w:tcBorders>
              <w:top w:val="single" w:color="auto" w:sz="4" w:space="0"/>
            </w:tcBorders>
            <w:vAlign w:val="center"/>
          </w:tcPr>
          <w:p w14:paraId="0C0B59B1"/>
        </w:tc>
        <w:tc>
          <w:tcPr>
            <w:tcW w:w="378" w:type="pct"/>
            <w:tcBorders>
              <w:top w:val="single" w:color="auto" w:sz="4" w:space="0"/>
            </w:tcBorders>
            <w:vAlign w:val="center"/>
          </w:tcPr>
          <w:p w14:paraId="2A7C8F14">
            <w:r>
              <w:rPr>
                <w:rFonts w:hint="eastAsia"/>
              </w:rPr>
              <w:t>4</w:t>
            </w:r>
          </w:p>
        </w:tc>
        <w:tc>
          <w:tcPr>
            <w:tcW w:w="929" w:type="pct"/>
            <w:tcBorders>
              <w:top w:val="single" w:color="auto" w:sz="4" w:space="0"/>
            </w:tcBorders>
            <w:vAlign w:val="center"/>
          </w:tcPr>
          <w:p w14:paraId="0789B974">
            <w:r>
              <w:rPr>
                <w:rFonts w:hint="eastAsia"/>
              </w:rPr>
              <w:t>漆包线</w:t>
            </w:r>
          </w:p>
        </w:tc>
        <w:tc>
          <w:tcPr>
            <w:tcW w:w="1047" w:type="pct"/>
            <w:vMerge w:val="continue"/>
            <w:tcBorders>
              <w:top w:val="single" w:color="auto" w:sz="4" w:space="0"/>
            </w:tcBorders>
            <w:vAlign w:val="center"/>
          </w:tcPr>
          <w:p w14:paraId="499C39AF"/>
        </w:tc>
        <w:tc>
          <w:tcPr>
            <w:tcW w:w="1663" w:type="pct"/>
            <w:tcBorders>
              <w:top w:val="single" w:color="auto" w:sz="4" w:space="0"/>
            </w:tcBorders>
            <w:vAlign w:val="center"/>
          </w:tcPr>
          <w:p w14:paraId="095DBE4D">
            <w:pPr>
              <w:rPr>
                <w:szCs w:val="21"/>
              </w:rPr>
            </w:pPr>
            <w:r>
              <w:rPr>
                <w:rFonts w:hint="eastAsia"/>
                <w:szCs w:val="21"/>
              </w:rPr>
              <w:t>牌号、制造企业</w:t>
            </w:r>
          </w:p>
        </w:tc>
      </w:tr>
      <w:tr w14:paraId="7E1C0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5"/>
            <w:tcBorders>
              <w:top w:val="single" w:color="auto" w:sz="8" w:space="0"/>
              <w:left w:val="single" w:color="auto" w:sz="8" w:space="0"/>
              <w:bottom w:val="single" w:color="auto" w:sz="8" w:space="0"/>
              <w:right w:val="single" w:color="auto" w:sz="8" w:space="0"/>
            </w:tcBorders>
            <w:vAlign w:val="center"/>
          </w:tcPr>
          <w:p w14:paraId="5DEACCF9">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w:t>
            </w:r>
            <w:r>
              <w:rPr>
                <w:rFonts w:hint="eastAsia" w:ascii="黑体" w:hAnsi="黑体" w:eastAsia="黑体" w:cs="黑体"/>
              </w:rPr>
              <w:t>1</w:t>
            </w:r>
            <w:r>
              <w:rPr>
                <w:rFonts w:hint="eastAsia" w:ascii="黑体" w:hAnsi="黑体" w:eastAsia="黑体" w:cs="黑体"/>
                <w:lang w:eastAsia="zh-CN"/>
              </w:rPr>
              <w:t>：</w:t>
            </w:r>
            <w:r>
              <w:rPr>
                <w:rFonts w:hint="eastAsia"/>
              </w:rPr>
              <w:t>控制项目发生变化时委托人需提出认证变更委托并备案。</w:t>
            </w:r>
          </w:p>
          <w:p w14:paraId="13C65A3B">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w:t>
            </w:r>
            <w:r>
              <w:rPr>
                <w:rFonts w:hint="eastAsia" w:ascii="黑体" w:hAnsi="黑体" w:eastAsia="黑体" w:cs="黑体"/>
              </w:rPr>
              <w:t>2</w:t>
            </w:r>
            <w:r>
              <w:rPr>
                <w:rFonts w:hint="eastAsia" w:ascii="黑体" w:hAnsi="黑体" w:eastAsia="黑体" w:cs="黑体"/>
                <w:lang w:eastAsia="zh-CN"/>
              </w:rPr>
              <w:t>：</w:t>
            </w:r>
            <w:r>
              <w:rPr>
                <w:rFonts w:hint="eastAsia"/>
              </w:rPr>
              <w:t>项目</w:t>
            </w:r>
            <w:r>
              <w:t>1</w:t>
            </w:r>
            <w:r>
              <w:rPr>
                <w:rFonts w:hint="eastAsia"/>
              </w:rPr>
              <w:t>变更时需检测项目阻燃试验。塑料外壳</w:t>
            </w:r>
            <w:r>
              <w:t>1</w:t>
            </w:r>
            <w:r>
              <w:rPr>
                <w:rFonts w:hint="eastAsia"/>
              </w:rPr>
              <w:t>件</w:t>
            </w:r>
            <w:r>
              <w:t>/基数不少于5件</w:t>
            </w:r>
            <w:r>
              <w:rPr>
                <w:rFonts w:hint="eastAsia"/>
              </w:rPr>
              <w:t>。</w:t>
            </w:r>
          </w:p>
          <w:p w14:paraId="1BCB9D96">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w:t>
            </w:r>
            <w:r>
              <w:rPr>
                <w:rFonts w:hint="eastAsia" w:ascii="黑体" w:hAnsi="黑体" w:eastAsia="黑体" w:cs="黑体"/>
              </w:rPr>
              <w:t>3</w:t>
            </w:r>
            <w:r>
              <w:rPr>
                <w:rFonts w:hint="eastAsia" w:ascii="黑体" w:hAnsi="黑体" w:eastAsia="黑体" w:cs="黑体"/>
                <w:lang w:eastAsia="zh-CN"/>
              </w:rPr>
              <w:t>：</w:t>
            </w:r>
            <w:r>
              <w:rPr>
                <w:rFonts w:hint="eastAsia"/>
              </w:rPr>
              <w:t>项目</w:t>
            </w:r>
            <w:r>
              <w:t>2</w:t>
            </w:r>
            <w:r>
              <w:rPr>
                <w:rFonts w:hint="eastAsia"/>
              </w:rPr>
              <w:t>变更时需检测项目阻燃试验。接线端子</w:t>
            </w:r>
            <w:r>
              <w:t>1</w:t>
            </w:r>
            <w:r>
              <w:rPr>
                <w:rFonts w:hint="eastAsia"/>
              </w:rPr>
              <w:t>件</w:t>
            </w:r>
            <w:r>
              <w:t>/基数不少于5件</w:t>
            </w:r>
            <w:r>
              <w:rPr>
                <w:rFonts w:hint="eastAsia"/>
              </w:rPr>
              <w:t>。</w:t>
            </w:r>
          </w:p>
          <w:p w14:paraId="305A201D">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w:t>
            </w:r>
            <w:r>
              <w:rPr>
                <w:rFonts w:hint="eastAsia" w:ascii="黑体" w:hAnsi="黑体" w:eastAsia="黑体" w:cs="黑体"/>
              </w:rPr>
              <w:t>4</w:t>
            </w:r>
            <w:r>
              <w:rPr>
                <w:rFonts w:hint="eastAsia" w:ascii="黑体" w:hAnsi="黑体" w:eastAsia="黑体" w:cs="黑体"/>
                <w:lang w:eastAsia="zh-CN"/>
              </w:rPr>
              <w:t>：</w:t>
            </w:r>
            <w:r>
              <w:rPr>
                <w:rFonts w:hint="eastAsia"/>
              </w:rPr>
              <w:t>项目</w:t>
            </w:r>
            <w:r>
              <w:t>3</w:t>
            </w:r>
            <w:r>
              <w:rPr>
                <w:rFonts w:hint="eastAsia"/>
              </w:rPr>
              <w:t>变更时需检测项目常温性能。整机</w:t>
            </w:r>
            <w:r>
              <w:t>2台</w:t>
            </w:r>
            <w:r>
              <w:rPr>
                <w:rFonts w:hint="eastAsia"/>
              </w:rPr>
              <w:t>/基数不少于1</w:t>
            </w:r>
            <w:r>
              <w:t>0</w:t>
            </w:r>
            <w:r>
              <w:rPr>
                <w:rFonts w:hint="eastAsia"/>
              </w:rPr>
              <w:t>台。</w:t>
            </w:r>
          </w:p>
          <w:p w14:paraId="0DE75106">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w:t>
            </w:r>
            <w:r>
              <w:rPr>
                <w:rFonts w:hint="eastAsia" w:ascii="黑体" w:hAnsi="黑体" w:eastAsia="黑体" w:cs="黑体"/>
              </w:rPr>
              <w:t>5</w:t>
            </w:r>
            <w:r>
              <w:rPr>
                <w:rFonts w:hint="eastAsia" w:ascii="黑体" w:hAnsi="黑体" w:eastAsia="黑体" w:cs="黑体"/>
                <w:lang w:eastAsia="zh-CN"/>
              </w:rPr>
              <w:t>：</w:t>
            </w:r>
            <w:r>
              <w:rPr>
                <w:rFonts w:hint="eastAsia"/>
              </w:rPr>
              <w:t>项目</w:t>
            </w:r>
            <w:r>
              <w:t>4</w:t>
            </w:r>
            <w:r>
              <w:rPr>
                <w:rFonts w:hint="eastAsia"/>
              </w:rPr>
              <w:t>变更时需检测项目常温性能、低温、高温。整机</w:t>
            </w:r>
            <w:r>
              <w:t>2台</w:t>
            </w:r>
            <w:r>
              <w:rPr>
                <w:rFonts w:hint="eastAsia"/>
              </w:rPr>
              <w:t>/基数</w:t>
            </w:r>
            <w:r>
              <w:t>不少于</w:t>
            </w:r>
            <w:r>
              <w:rPr>
                <w:rFonts w:hint="eastAsia"/>
              </w:rPr>
              <w:t>1</w:t>
            </w:r>
            <w:r>
              <w:t>0</w:t>
            </w:r>
            <w:r>
              <w:rPr>
                <w:rFonts w:hint="eastAsia"/>
              </w:rPr>
              <w:t>台。</w:t>
            </w:r>
          </w:p>
        </w:tc>
      </w:tr>
    </w:tbl>
    <w:p w14:paraId="11E902CE">
      <w:pPr>
        <w:widowControl/>
        <w:tabs>
          <w:tab w:val="clear" w:pos="0"/>
        </w:tabs>
        <w:jc w:val="left"/>
        <w:rPr>
          <w:rFonts w:ascii="黑体" w:hAnsi="黑体" w:eastAsia="黑体" w:cs="黑体"/>
          <w:kern w:val="0"/>
          <w:sz w:val="21"/>
          <w:szCs w:val="20"/>
        </w:rPr>
      </w:pPr>
      <w:r>
        <w:rPr>
          <w:rFonts w:ascii="黑体" w:hAnsi="黑体" w:eastAsia="黑体" w:cs="黑体"/>
        </w:rPr>
        <w:br w:type="page"/>
      </w:r>
    </w:p>
    <w:p w14:paraId="2BBE18E1">
      <w:pPr>
        <w:pStyle w:val="51"/>
        <w:ind w:left="0"/>
        <w:jc w:val="left"/>
      </w:pPr>
      <w:r>
        <w:rPr>
          <w:rFonts w:hint="eastAsia"/>
        </w:rPr>
        <w:t>产品抽样检验</w:t>
      </w:r>
      <w:bookmarkEnd w:id="139"/>
      <w:r>
        <w:t xml:space="preserve"> </w:t>
      </w:r>
    </w:p>
    <w:p w14:paraId="36CD2E61">
      <w:pPr>
        <w:pStyle w:val="53"/>
      </w:pPr>
      <w:bookmarkStart w:id="140" w:name="_Toc153543120"/>
      <w:bookmarkEnd w:id="140"/>
      <w:bookmarkStart w:id="141" w:name="_Toc153543116"/>
      <w:bookmarkEnd w:id="141"/>
      <w:bookmarkStart w:id="142" w:name="_Toc153543114"/>
      <w:bookmarkEnd w:id="142"/>
      <w:bookmarkStart w:id="143" w:name="_Toc153543118"/>
      <w:bookmarkEnd w:id="143"/>
      <w:bookmarkStart w:id="144" w:name="_Toc153543117"/>
      <w:bookmarkEnd w:id="144"/>
      <w:bookmarkStart w:id="145" w:name="_Toc153543119"/>
      <w:bookmarkEnd w:id="145"/>
      <w:bookmarkStart w:id="146" w:name="_Toc153543121"/>
      <w:bookmarkEnd w:id="146"/>
      <w:bookmarkStart w:id="147" w:name="_Toc153543115"/>
      <w:bookmarkEnd w:id="147"/>
      <w:bookmarkStart w:id="148" w:name="_Toc6733"/>
      <w:r>
        <w:rPr>
          <w:rFonts w:hint="eastAsia"/>
        </w:rPr>
        <w:t>检验依据</w:t>
      </w:r>
      <w:bookmarkEnd w:id="148"/>
    </w:p>
    <w:p w14:paraId="78791361">
      <w:pPr>
        <w:ind w:firstLine="420" w:firstLineChars="200"/>
        <w:jc w:val="left"/>
        <w:rPr>
          <w:sz w:val="21"/>
          <w:szCs w:val="21"/>
        </w:rPr>
      </w:pPr>
      <w:r>
        <w:rPr>
          <w:sz w:val="21"/>
          <w:szCs w:val="21"/>
        </w:rPr>
        <w:t xml:space="preserve">TB/T 3112.4—2017  </w:t>
      </w:r>
      <w:r>
        <w:rPr>
          <w:rFonts w:hint="eastAsia"/>
          <w:sz w:val="21"/>
          <w:szCs w:val="21"/>
        </w:rPr>
        <w:t>铁路车站电码化设备</w:t>
      </w:r>
      <w:r>
        <w:rPr>
          <w:sz w:val="21"/>
          <w:szCs w:val="21"/>
        </w:rPr>
        <w:t xml:space="preserve">  第4部分：元器件</w:t>
      </w:r>
    </w:p>
    <w:p w14:paraId="57E96FC4">
      <w:pPr>
        <w:pStyle w:val="53"/>
      </w:pPr>
      <w:bookmarkStart w:id="149" w:name="_Toc24550"/>
      <w:r>
        <w:rPr>
          <w:rFonts w:hint="eastAsia"/>
        </w:rPr>
        <w:t>产品抽样</w:t>
      </w:r>
      <w:bookmarkEnd w:id="149"/>
    </w:p>
    <w:p w14:paraId="3171920A">
      <w:pPr>
        <w:pStyle w:val="54"/>
        <w:ind w:left="0"/>
        <w:rPr>
          <w:rFonts w:ascii="黑体" w:hAnsi="黑体" w:eastAsia="黑体"/>
        </w:rPr>
      </w:pPr>
      <w:r>
        <w:rPr>
          <w:rFonts w:hint="eastAsia" w:ascii="黑体" w:hAnsi="黑体" w:eastAsia="黑体"/>
        </w:rPr>
        <w:t>抽样方案</w:t>
      </w:r>
    </w:p>
    <w:p w14:paraId="6CFC4952">
      <w:pPr>
        <w:pStyle w:val="54"/>
        <w:numPr>
          <w:ilvl w:val="3"/>
          <w:numId w:val="1"/>
        </w:numPr>
        <w:spacing w:before="0" w:after="0"/>
        <w:jc w:val="both"/>
      </w:pPr>
      <w:bookmarkStart w:id="150" w:name="_Hlk185860008"/>
      <w:r>
        <w:rPr>
          <w:rFonts w:hint="eastAsia" w:ascii="宋体" w:hAnsi="宋体"/>
        </w:rPr>
        <w:t>产品抽样方案应满足表</w:t>
      </w:r>
      <w:r>
        <w:rPr>
          <w:rFonts w:ascii="宋体" w:hAnsi="宋体"/>
        </w:rPr>
        <w:t>4</w:t>
      </w:r>
      <w:r>
        <w:rPr>
          <w:rFonts w:hint="eastAsia" w:ascii="宋体" w:hAnsi="宋体"/>
        </w:rPr>
        <w:t>的要求</w:t>
      </w:r>
      <w:r>
        <w:rPr>
          <w:rFonts w:hint="eastAsia"/>
        </w:rPr>
        <w:t>。</w:t>
      </w:r>
    </w:p>
    <w:bookmarkEnd w:id="150"/>
    <w:p w14:paraId="2595B7C4">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4</w:t>
      </w:r>
      <w:r>
        <w:rPr>
          <w:rFonts w:hint="eastAsia" w:ascii="黑体" w:hAnsi="黑体" w:eastAsia="黑体" w:cs="黑体"/>
        </w:rPr>
        <w:t xml:space="preserve">  </w:t>
      </w:r>
      <w:r>
        <w:rPr>
          <w:rFonts w:hint="eastAsia" w:ascii="黑体" w:hAnsi="黑体" w:eastAsia="黑体"/>
        </w:rPr>
        <w:t>产品抽样方案</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9"/>
        <w:gridCol w:w="3384"/>
        <w:gridCol w:w="3907"/>
      </w:tblGrid>
      <w:tr w14:paraId="09795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91" w:type="pct"/>
            <w:tcBorders>
              <w:top w:val="single" w:color="auto" w:sz="8" w:space="0"/>
              <w:left w:val="single" w:color="auto" w:sz="8" w:space="0"/>
              <w:bottom w:val="single" w:color="auto" w:sz="8" w:space="0"/>
            </w:tcBorders>
            <w:vAlign w:val="center"/>
          </w:tcPr>
          <w:p w14:paraId="5E53DFF6">
            <w:bookmarkStart w:id="151" w:name="_Hlk185859171"/>
            <w:bookmarkStart w:id="152" w:name="_Hlk186125078"/>
            <w:bookmarkStart w:id="153" w:name="_Hlk186125324"/>
            <w:bookmarkStart w:id="154" w:name="_Hlk185860028"/>
            <w:r>
              <w:t>抽样方案</w:t>
            </w:r>
          </w:p>
        </w:tc>
        <w:tc>
          <w:tcPr>
            <w:tcW w:w="1768" w:type="pct"/>
            <w:tcBorders>
              <w:top w:val="single" w:color="auto" w:sz="8" w:space="0"/>
              <w:bottom w:val="single" w:color="auto" w:sz="8" w:space="0"/>
            </w:tcBorders>
            <w:vAlign w:val="center"/>
          </w:tcPr>
          <w:p w14:paraId="52C3BB8E">
            <w:r>
              <w:rPr>
                <w:rFonts w:hint="eastAsia"/>
              </w:rPr>
              <w:t>抽样数量</w:t>
            </w:r>
          </w:p>
        </w:tc>
        <w:tc>
          <w:tcPr>
            <w:tcW w:w="2041" w:type="pct"/>
            <w:tcBorders>
              <w:top w:val="single" w:color="auto" w:sz="8" w:space="0"/>
              <w:bottom w:val="single" w:color="auto" w:sz="8" w:space="0"/>
              <w:right w:val="single" w:color="auto" w:sz="8" w:space="0"/>
            </w:tcBorders>
            <w:vAlign w:val="center"/>
          </w:tcPr>
          <w:p w14:paraId="39FF1299">
            <w:r>
              <w:rPr>
                <w:rFonts w:hint="eastAsia"/>
              </w:rPr>
              <w:t>抽样基数</w:t>
            </w:r>
          </w:p>
        </w:tc>
      </w:tr>
      <w:tr w14:paraId="6939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top w:val="single" w:color="auto" w:sz="8" w:space="0"/>
              <w:left w:val="single" w:color="auto" w:sz="8" w:space="0"/>
            </w:tcBorders>
            <w:vAlign w:val="center"/>
          </w:tcPr>
          <w:p w14:paraId="0E85EA4A">
            <w:r>
              <w:rPr>
                <w:rFonts w:hint="eastAsia"/>
                <w:bCs/>
              </w:rPr>
              <w:t>型式检验</w:t>
            </w:r>
          </w:p>
        </w:tc>
        <w:tc>
          <w:tcPr>
            <w:tcW w:w="1768" w:type="pct"/>
            <w:tcBorders>
              <w:top w:val="single" w:color="auto" w:sz="8" w:space="0"/>
            </w:tcBorders>
            <w:vAlign w:val="center"/>
          </w:tcPr>
          <w:p w14:paraId="4279CB9C">
            <w:pPr>
              <w:ind w:left="-110" w:leftChars="-61" w:right="-113" w:rightChars="-63"/>
            </w:pPr>
            <w:r>
              <w:rPr>
                <w:bCs/>
                <w:kern w:val="0"/>
              </w:rPr>
              <w:t>4</w:t>
            </w:r>
            <w:r>
              <w:rPr>
                <w:rFonts w:hint="eastAsia"/>
                <w:bCs/>
                <w:kern w:val="0"/>
              </w:rPr>
              <w:t>台+1箱（带包装）</w:t>
            </w:r>
          </w:p>
        </w:tc>
        <w:tc>
          <w:tcPr>
            <w:tcW w:w="2041" w:type="pct"/>
            <w:tcBorders>
              <w:top w:val="single" w:color="auto" w:sz="8" w:space="0"/>
              <w:right w:val="single" w:color="auto" w:sz="8" w:space="0"/>
            </w:tcBorders>
            <w:vAlign w:val="center"/>
          </w:tcPr>
          <w:p w14:paraId="5584F863">
            <w:pPr>
              <w:ind w:left="-110" w:leftChars="-61" w:right="-113" w:rightChars="-63"/>
            </w:pPr>
            <w:r>
              <w:rPr>
                <w:rFonts w:hint="eastAsia"/>
                <w:bCs/>
                <w:kern w:val="0"/>
              </w:rPr>
              <w:t>≥</w:t>
            </w:r>
            <w:r>
              <w:rPr>
                <w:bCs/>
                <w:kern w:val="0"/>
              </w:rPr>
              <w:t>20</w:t>
            </w:r>
            <w:r>
              <w:rPr>
                <w:rFonts w:hint="eastAsia"/>
                <w:bCs/>
                <w:kern w:val="0"/>
              </w:rPr>
              <w:t>台</w:t>
            </w:r>
          </w:p>
        </w:tc>
      </w:tr>
      <w:tr w14:paraId="4CBF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1191" w:type="pct"/>
            <w:tcBorders>
              <w:left w:val="single" w:color="auto" w:sz="8" w:space="0"/>
            </w:tcBorders>
            <w:vAlign w:val="center"/>
          </w:tcPr>
          <w:p w14:paraId="690EF75E">
            <w:r>
              <w:rPr>
                <w:rFonts w:hint="eastAsia"/>
                <w:bCs/>
              </w:rPr>
              <w:t>监督抽查</w:t>
            </w:r>
          </w:p>
        </w:tc>
        <w:tc>
          <w:tcPr>
            <w:tcW w:w="1768" w:type="pct"/>
            <w:vAlign w:val="center"/>
          </w:tcPr>
          <w:p w14:paraId="7E34C01D">
            <w:r>
              <w:rPr>
                <w:rFonts w:hint="eastAsia"/>
                <w:bCs/>
                <w:kern w:val="0"/>
              </w:rPr>
              <w:t>2台</w:t>
            </w:r>
          </w:p>
        </w:tc>
        <w:tc>
          <w:tcPr>
            <w:tcW w:w="2041" w:type="pct"/>
            <w:tcBorders>
              <w:right w:val="single" w:color="auto" w:sz="8" w:space="0"/>
            </w:tcBorders>
            <w:vAlign w:val="center"/>
          </w:tcPr>
          <w:p w14:paraId="48BB191D">
            <w:r>
              <w:rPr>
                <w:rFonts w:hint="eastAsia"/>
                <w:bCs/>
                <w:kern w:val="0"/>
              </w:rPr>
              <w:t>≥10台</w:t>
            </w:r>
          </w:p>
        </w:tc>
      </w:tr>
      <w:tr w14:paraId="4CE68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191" w:type="pct"/>
            <w:tcBorders>
              <w:left w:val="single" w:color="auto" w:sz="8" w:space="0"/>
            </w:tcBorders>
            <w:vAlign w:val="center"/>
          </w:tcPr>
          <w:p w14:paraId="24814FD4">
            <w:pPr>
              <w:rPr>
                <w:bCs/>
              </w:rPr>
            </w:pPr>
            <w:r>
              <w:rPr>
                <w:rFonts w:hint="eastAsia"/>
                <w:bCs/>
              </w:rPr>
              <w:t>监督检测</w:t>
            </w:r>
          </w:p>
        </w:tc>
        <w:tc>
          <w:tcPr>
            <w:tcW w:w="1768" w:type="pct"/>
            <w:vAlign w:val="center"/>
          </w:tcPr>
          <w:p w14:paraId="0FE046FE">
            <w:pPr>
              <w:rPr>
                <w:bCs/>
                <w:kern w:val="0"/>
              </w:rPr>
            </w:pPr>
            <w:r>
              <w:rPr>
                <w:kern w:val="0"/>
              </w:rPr>
              <w:t>2台</w:t>
            </w:r>
          </w:p>
        </w:tc>
        <w:tc>
          <w:tcPr>
            <w:tcW w:w="2041" w:type="pct"/>
            <w:tcBorders>
              <w:right w:val="single" w:color="auto" w:sz="8" w:space="0"/>
            </w:tcBorders>
            <w:vAlign w:val="center"/>
          </w:tcPr>
          <w:p w14:paraId="2A1042FC">
            <w:pPr>
              <w:rPr>
                <w:bCs/>
                <w:kern w:val="0"/>
              </w:rPr>
            </w:pPr>
            <w:r>
              <w:rPr>
                <w:rFonts w:hint="eastAsia"/>
                <w:kern w:val="0"/>
              </w:rPr>
              <w:t>≥</w:t>
            </w:r>
            <w:r>
              <w:rPr>
                <w:kern w:val="0"/>
              </w:rPr>
              <w:t>10台</w:t>
            </w:r>
          </w:p>
        </w:tc>
      </w:tr>
      <w:tr w14:paraId="555E6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jc w:val="center"/>
        </w:trPr>
        <w:tc>
          <w:tcPr>
            <w:tcW w:w="5000" w:type="pct"/>
            <w:gridSpan w:val="3"/>
            <w:tcBorders>
              <w:left w:val="single" w:color="auto" w:sz="8" w:space="0"/>
              <w:bottom w:val="single" w:color="auto" w:sz="8" w:space="0"/>
              <w:right w:val="single" w:color="auto" w:sz="8" w:space="0"/>
            </w:tcBorders>
            <w:vAlign w:val="center"/>
          </w:tcPr>
          <w:p w14:paraId="2CC85CEF">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注1：</w:t>
            </w:r>
            <w:r>
              <w:rPr>
                <w:rFonts w:hint="eastAsia"/>
              </w:rPr>
              <w:t>产品监督抽查时，抽取与抽样型号规格、数量相同的备用样品，备用样品封存于抽样生产企业或抽样用户；具体抽样数量可根据检验项目进行调整</w:t>
            </w:r>
            <w:r>
              <w:t>。</w:t>
            </w:r>
          </w:p>
          <w:p w14:paraId="5DB5D1D5">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w:t>
            </w:r>
            <w:r>
              <w:rPr>
                <w:rFonts w:hint="eastAsia" w:ascii="黑体" w:hAnsi="黑体" w:eastAsia="黑体" w:cs="黑体"/>
              </w:rPr>
              <w:t>2</w:t>
            </w:r>
            <w:r>
              <w:rPr>
                <w:rFonts w:hint="eastAsia" w:ascii="黑体" w:hAnsi="黑体" w:eastAsia="黑体" w:cs="黑体"/>
                <w:lang w:eastAsia="zh-CN"/>
              </w:rPr>
              <w:t>：</w:t>
            </w:r>
            <w:r>
              <w:rPr>
                <w:rFonts w:hint="eastAsia"/>
              </w:rPr>
              <w:t>在用户</w:t>
            </w:r>
            <w:r>
              <w:rPr>
                <w:rFonts w:hint="eastAsia" w:cstheme="minorEastAsia"/>
              </w:rPr>
              <w:t>抽样时，不作基数要求；在监督抽查时，生产企业抽样少于抽样基数要求时，以实际库存数量为基数抽取样品；其他情况按抽样基数要求抽样</w:t>
            </w:r>
            <w:r>
              <w:rPr>
                <w:rFonts w:cstheme="minorEastAsia"/>
              </w:rPr>
              <w:t>。</w:t>
            </w:r>
          </w:p>
          <w:p w14:paraId="7B21A907">
            <w:pPr>
              <w:tabs>
                <w:tab w:val="left" w:pos="312"/>
                <w:tab w:val="left" w:pos="449"/>
                <w:tab w:val="clear" w:pos="0"/>
              </w:tabs>
              <w:spacing w:line="320" w:lineRule="exact"/>
              <w:ind w:left="405" w:right="117" w:rightChars="65"/>
              <w:jc w:val="both"/>
            </w:pPr>
            <w:r>
              <w:rPr>
                <w:rFonts w:hint="eastAsia" w:ascii="黑体" w:hAnsi="黑体" w:eastAsia="黑体" w:cs="黑体"/>
                <w:lang w:val="en-US" w:eastAsia="zh-CN"/>
              </w:rPr>
              <w:t>注</w:t>
            </w:r>
            <w:r>
              <w:rPr>
                <w:rFonts w:hint="eastAsia" w:ascii="黑体" w:hAnsi="黑体" w:eastAsia="黑体" w:cs="黑体"/>
              </w:rPr>
              <w:t>3</w:t>
            </w:r>
            <w:r>
              <w:rPr>
                <w:rFonts w:hint="eastAsia" w:ascii="黑体" w:hAnsi="黑体" w:eastAsia="黑体" w:cs="黑体"/>
                <w:lang w:eastAsia="zh-CN"/>
              </w:rPr>
              <w:t>：</w:t>
            </w:r>
            <w:r>
              <w:rPr>
                <w:rFonts w:hint="eastAsia"/>
              </w:rPr>
              <w:t>型式试验抽取铁路车站电码化室内隔离设备</w:t>
            </w:r>
            <w:r>
              <w:t>4</w:t>
            </w:r>
            <w:r>
              <w:rPr>
                <w:rFonts w:hint="eastAsia"/>
              </w:rPr>
              <w:t>台+1箱（带包装），其中</w:t>
            </w:r>
            <w:r>
              <w:t>1箱（带包装）只做冲击试验</w:t>
            </w:r>
            <w:r>
              <w:rPr>
                <w:rFonts w:hint="eastAsia"/>
              </w:rPr>
              <w:t>；根据需要，阻燃试验需要抽取塑料外壳、不同材质的接线端子各</w:t>
            </w:r>
            <w:r>
              <w:t>1套</w:t>
            </w:r>
            <w:r>
              <w:rPr>
                <w:rFonts w:hint="eastAsia"/>
              </w:rPr>
              <w:t>。</w:t>
            </w:r>
          </w:p>
        </w:tc>
      </w:tr>
      <w:bookmarkEnd w:id="151"/>
      <w:bookmarkEnd w:id="152"/>
      <w:bookmarkEnd w:id="153"/>
      <w:bookmarkEnd w:id="154"/>
    </w:tbl>
    <w:p w14:paraId="36A3753F">
      <w:pPr>
        <w:pStyle w:val="54"/>
        <w:numPr>
          <w:ilvl w:val="3"/>
          <w:numId w:val="1"/>
        </w:numPr>
        <w:spacing w:beforeLines="50" w:afterLines="50"/>
        <w:jc w:val="both"/>
        <w:rPr>
          <w:rFonts w:ascii="宋体" w:hAnsi="宋体" w:eastAsia="宋体" w:cs="黑体"/>
        </w:rPr>
      </w:pPr>
      <w:r>
        <w:rPr>
          <w:rFonts w:hint="eastAsia" w:ascii="宋体" w:hAnsi="宋体" w:eastAsia="宋体" w:cs="黑体"/>
        </w:rPr>
        <w:t>产品认证</w:t>
      </w:r>
      <w:r>
        <w:rPr>
          <w:rFonts w:ascii="宋体" w:hAnsi="宋体" w:eastAsia="宋体" w:cs="黑体"/>
        </w:rPr>
        <w:t>抽样除满足4.2.1.1要求外，还需满足下列要求：</w:t>
      </w:r>
    </w:p>
    <w:p w14:paraId="37D5C3B6">
      <w:pPr>
        <w:pStyle w:val="51"/>
        <w:numPr>
          <w:ilvl w:val="0"/>
          <w:numId w:val="0"/>
        </w:numPr>
        <w:spacing w:before="0" w:beforeLines="0" w:after="0" w:afterLines="0"/>
        <w:ind w:left="568"/>
        <w:rPr>
          <w:rFonts w:ascii="宋体" w:hAnsi="宋体" w:eastAsia="宋体"/>
        </w:rPr>
      </w:pPr>
      <w:r>
        <w:rPr>
          <w:rFonts w:ascii="宋体" w:hAnsi="宋体" w:eastAsia="宋体"/>
        </w:rPr>
        <w:t>a）</w:t>
      </w:r>
      <w:r>
        <w:rPr>
          <w:rFonts w:hint="eastAsia" w:ascii="宋体" w:hAnsi="宋体" w:eastAsia="宋体"/>
        </w:rPr>
        <w:t>初次认证时，抽取所申请规格型号的产品进行认证检测。</w:t>
      </w:r>
    </w:p>
    <w:p w14:paraId="1EC1EBB8">
      <w:pPr>
        <w:pStyle w:val="51"/>
        <w:numPr>
          <w:ilvl w:val="0"/>
          <w:numId w:val="8"/>
        </w:numPr>
        <w:spacing w:before="0" w:beforeLines="0" w:after="0" w:afterLines="0"/>
        <w:rPr>
          <w:rFonts w:ascii="宋体" w:hAnsi="宋体" w:eastAsia="宋体"/>
        </w:rPr>
      </w:pPr>
      <w:r>
        <w:rPr>
          <w:rFonts w:hint="eastAsia" w:ascii="宋体" w:hAnsi="宋体" w:eastAsia="宋体"/>
        </w:rPr>
        <w:t>复评时，认证单元内抽取具有代表性或广泛应用的规格型号进行认证检测。</w:t>
      </w:r>
    </w:p>
    <w:p w14:paraId="107CBA14">
      <w:pPr>
        <w:pStyle w:val="51"/>
        <w:numPr>
          <w:ilvl w:val="0"/>
          <w:numId w:val="8"/>
        </w:numPr>
        <w:spacing w:before="0" w:beforeLines="0" w:after="0" w:afterLines="0"/>
        <w:rPr>
          <w:rFonts w:ascii="宋体" w:hAnsi="宋体" w:eastAsia="宋体"/>
        </w:rPr>
      </w:pPr>
      <w:r>
        <w:rPr>
          <w:rFonts w:hint="eastAsia" w:ascii="宋体" w:hAnsi="宋体" w:eastAsia="宋体"/>
        </w:rPr>
        <w:t>监督检测时，认证单元内抽取任一规格型号的产品进行检测或与扩项检测相结合进行。</w:t>
      </w:r>
    </w:p>
    <w:p w14:paraId="1BFB48A4">
      <w:pPr>
        <w:pStyle w:val="51"/>
        <w:numPr>
          <w:ilvl w:val="0"/>
          <w:numId w:val="8"/>
        </w:numPr>
        <w:spacing w:before="0" w:beforeLines="0" w:after="0" w:afterLines="0"/>
        <w:rPr>
          <w:rFonts w:ascii="宋体" w:hAnsi="宋体" w:eastAsia="宋体"/>
        </w:rPr>
      </w:pPr>
      <w:r>
        <w:rPr>
          <w:rFonts w:hint="eastAsia" w:ascii="宋体" w:hAnsi="宋体" w:eastAsia="宋体" w:cs="Times New Roman Regular"/>
        </w:rPr>
        <w:t>认证检测可采</w:t>
      </w:r>
      <w:r>
        <w:rPr>
          <w:rFonts w:hint="eastAsia" w:ascii="宋体" w:hAnsi="宋体" w:eastAsia="宋体"/>
        </w:rPr>
        <w:t>信1年内国家铁路局产品监督抽查检测结果。</w:t>
      </w:r>
    </w:p>
    <w:p w14:paraId="3A9F69BB">
      <w:pPr>
        <w:pStyle w:val="54"/>
        <w:ind w:left="0"/>
        <w:jc w:val="both"/>
        <w:rPr>
          <w:rFonts w:ascii="黑体" w:hAnsi="黑体" w:eastAsia="黑体"/>
        </w:rPr>
      </w:pPr>
      <w:r>
        <w:rPr>
          <w:rFonts w:hint="eastAsia" w:ascii="黑体" w:hAnsi="黑体" w:eastAsia="黑体"/>
        </w:rPr>
        <w:t>抽样地点</w:t>
      </w:r>
    </w:p>
    <w:p w14:paraId="10A7FFD5">
      <w:pPr>
        <w:pStyle w:val="31"/>
        <w:jc w:val="both"/>
        <w:rPr>
          <w:rFonts w:ascii="宋体" w:hAnsi="宋体"/>
        </w:rPr>
      </w:pPr>
      <w:r>
        <w:rPr>
          <w:rFonts w:hint="eastAsia" w:ascii="宋体" w:hAnsi="宋体"/>
        </w:rPr>
        <w:t>生产企业或用户（产品认证时，由认证机构确认用户现场）。</w:t>
      </w:r>
    </w:p>
    <w:p w14:paraId="180E3A24">
      <w:pPr>
        <w:pStyle w:val="54"/>
        <w:ind w:left="0"/>
        <w:jc w:val="both"/>
        <w:rPr>
          <w:rFonts w:ascii="黑体" w:hAnsi="黑体" w:eastAsia="黑体"/>
        </w:rPr>
      </w:pPr>
      <w:r>
        <w:rPr>
          <w:rFonts w:hint="eastAsia" w:ascii="黑体" w:hAnsi="黑体" w:eastAsia="黑体"/>
        </w:rPr>
        <w:t>抽样要求</w:t>
      </w:r>
    </w:p>
    <w:p w14:paraId="74D92D8C">
      <w:pPr>
        <w:pStyle w:val="54"/>
        <w:numPr>
          <w:ilvl w:val="3"/>
          <w:numId w:val="1"/>
        </w:numPr>
        <w:tabs>
          <w:tab w:val="left" w:pos="0"/>
        </w:tabs>
        <w:spacing w:before="0" w:afterLines="50"/>
        <w:jc w:val="both"/>
      </w:pPr>
      <w:bookmarkStart w:id="155" w:name="_Hlk181804579"/>
      <w:bookmarkStart w:id="156" w:name="_Toc11564"/>
      <w:r>
        <w:rPr>
          <w:rFonts w:hint="eastAsia"/>
        </w:rPr>
        <w:t>抽样人员应当按照抽样方案进行抽样，并记录抽样信息，抽样人员不少于</w:t>
      </w:r>
      <w:r>
        <w:t>2名（产品认证时，抽样工作由认证机构或其委托的检验检测机构的人员进行）。</w:t>
      </w:r>
    </w:p>
    <w:p w14:paraId="4AB55616">
      <w:pPr>
        <w:pStyle w:val="54"/>
        <w:numPr>
          <w:ilvl w:val="3"/>
          <w:numId w:val="1"/>
        </w:numPr>
        <w:tabs>
          <w:tab w:val="left" w:pos="0"/>
        </w:tabs>
        <w:spacing w:before="0" w:afterLines="50"/>
        <w:jc w:val="both"/>
      </w:pPr>
      <w:r>
        <w:rPr>
          <w:rFonts w:hint="eastAsia"/>
        </w:rPr>
        <w:t>样本应是抽样前2年内生产的并经过检验合格、未经使用的产品。</w:t>
      </w:r>
    </w:p>
    <w:p w14:paraId="29B45825">
      <w:pPr>
        <w:pStyle w:val="54"/>
        <w:numPr>
          <w:ilvl w:val="3"/>
          <w:numId w:val="1"/>
        </w:numPr>
        <w:tabs>
          <w:tab w:val="left" w:pos="0"/>
        </w:tabs>
        <w:spacing w:before="0" w:afterLines="50"/>
        <w:jc w:val="both"/>
      </w:pPr>
      <w:r>
        <w:t>抽样人员应当采取有效措施对样品进行封样，保证样品真实、完整、有效。样品应</w:t>
      </w:r>
      <w:r>
        <w:rPr>
          <w:rFonts w:hint="eastAsia"/>
        </w:rPr>
        <w:t>按约定</w:t>
      </w:r>
      <w:r>
        <w:t>的时间</w:t>
      </w:r>
      <w:r>
        <w:rPr>
          <w:rFonts w:hint="eastAsia"/>
        </w:rPr>
        <w:t>和方式</w:t>
      </w:r>
      <w:r>
        <w:t>送至指定的检验</w:t>
      </w:r>
      <w:r>
        <w:rPr>
          <w:rFonts w:hint="eastAsia"/>
        </w:rPr>
        <w:t>检测</w:t>
      </w:r>
      <w:r>
        <w:t>地点。</w:t>
      </w:r>
    </w:p>
    <w:bookmarkEnd w:id="155"/>
    <w:p w14:paraId="06A6483B">
      <w:pPr>
        <w:pStyle w:val="53"/>
        <w:jc w:val="both"/>
      </w:pPr>
      <w:r>
        <w:rPr>
          <w:rFonts w:hint="eastAsia"/>
        </w:rPr>
        <w:t>检验条件</w:t>
      </w:r>
      <w:bookmarkEnd w:id="156"/>
    </w:p>
    <w:p w14:paraId="342DA92B">
      <w:pPr>
        <w:pStyle w:val="54"/>
        <w:ind w:left="0"/>
        <w:jc w:val="both"/>
        <w:rPr>
          <w:rFonts w:ascii="黑体" w:hAnsi="黑体" w:eastAsia="黑体"/>
        </w:rPr>
      </w:pPr>
      <w:r>
        <w:rPr>
          <w:rFonts w:hint="eastAsia" w:ascii="黑体" w:hAnsi="黑体" w:eastAsia="黑体"/>
        </w:rPr>
        <w:t>检验环境条件</w:t>
      </w:r>
    </w:p>
    <w:p w14:paraId="56BFB721">
      <w:pPr>
        <w:pStyle w:val="31"/>
        <w:jc w:val="both"/>
        <w:rPr>
          <w:rFonts w:ascii="宋体" w:hAnsi="宋体"/>
        </w:rPr>
      </w:pPr>
      <w:r>
        <w:rPr>
          <w:rFonts w:hint="eastAsia" w:ascii="宋体" w:hAnsi="宋体"/>
        </w:rPr>
        <w:t>检验环境条件按</w:t>
      </w:r>
      <w:r>
        <w:rPr>
          <w:rFonts w:ascii="宋体" w:hAnsi="宋体"/>
        </w:rPr>
        <w:t>TB/T 3112.4—2017</w:t>
      </w:r>
      <w:r>
        <w:rPr>
          <w:rFonts w:hint="eastAsia" w:ascii="宋体" w:hAnsi="宋体"/>
        </w:rPr>
        <w:t>标准规定的试验条件执行。</w:t>
      </w:r>
    </w:p>
    <w:p w14:paraId="13E14508">
      <w:pPr>
        <w:pStyle w:val="54"/>
        <w:ind w:left="0"/>
        <w:jc w:val="both"/>
        <w:rPr>
          <w:rFonts w:ascii="黑体" w:hAnsi="黑体" w:eastAsia="黑体"/>
        </w:rPr>
      </w:pPr>
      <w:r>
        <w:rPr>
          <w:rFonts w:hint="eastAsia" w:ascii="黑体" w:hAnsi="黑体" w:eastAsia="黑体"/>
        </w:rPr>
        <w:t>检验用主要仪器仪表及设备</w:t>
      </w:r>
    </w:p>
    <w:p w14:paraId="442207CB">
      <w:pPr>
        <w:pStyle w:val="31"/>
        <w:jc w:val="both"/>
        <w:rPr>
          <w:rFonts w:ascii="宋体" w:hAnsi="宋体"/>
        </w:rPr>
      </w:pPr>
      <w:r>
        <w:rPr>
          <w:rFonts w:hint="eastAsia" w:ascii="宋体" w:hAnsi="宋体"/>
        </w:rPr>
        <w:t>检验用主要仪器仪表及设备应满足表</w:t>
      </w:r>
      <w:r>
        <w:rPr>
          <w:rFonts w:ascii="宋体" w:hAnsi="宋体"/>
        </w:rPr>
        <w:t>5</w:t>
      </w:r>
      <w:r>
        <w:rPr>
          <w:rFonts w:hint="eastAsia" w:ascii="宋体" w:hAnsi="宋体"/>
        </w:rPr>
        <w:t>的要求。</w:t>
      </w:r>
    </w:p>
    <w:p w14:paraId="6891BFF3">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5</w:t>
      </w:r>
      <w:r>
        <w:rPr>
          <w:rFonts w:hint="eastAsia" w:ascii="黑体" w:hAnsi="黑体" w:eastAsia="黑体" w:cs="黑体"/>
        </w:rPr>
        <w:t xml:space="preserve">  检验用主要仪器仪表及设备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2986"/>
        <w:gridCol w:w="2760"/>
        <w:gridCol w:w="2326"/>
        <w:gridCol w:w="716"/>
      </w:tblGrid>
      <w:tr w14:paraId="54CE32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09" w:type="pct"/>
            <w:vMerge w:val="restart"/>
            <w:tcBorders>
              <w:top w:val="single" w:color="auto" w:sz="8" w:space="0"/>
              <w:left w:val="single" w:color="auto" w:sz="8" w:space="0"/>
            </w:tcBorders>
            <w:vAlign w:val="center"/>
          </w:tcPr>
          <w:p w14:paraId="3A7DB8E0">
            <w:r>
              <w:t>序号</w:t>
            </w:r>
          </w:p>
        </w:tc>
        <w:tc>
          <w:tcPr>
            <w:tcW w:w="1560" w:type="pct"/>
            <w:vMerge w:val="restart"/>
            <w:tcBorders>
              <w:top w:val="single" w:color="auto" w:sz="8" w:space="0"/>
            </w:tcBorders>
            <w:vAlign w:val="center"/>
          </w:tcPr>
          <w:p w14:paraId="042A3CED">
            <w:r>
              <w:rPr>
                <w:rFonts w:hint="eastAsia"/>
              </w:rPr>
              <w:t>仪器仪表及设备名称</w:t>
            </w:r>
          </w:p>
        </w:tc>
        <w:tc>
          <w:tcPr>
            <w:tcW w:w="2657" w:type="pct"/>
            <w:gridSpan w:val="2"/>
            <w:tcBorders>
              <w:top w:val="single" w:color="auto" w:sz="8" w:space="0"/>
            </w:tcBorders>
            <w:vAlign w:val="center"/>
          </w:tcPr>
          <w:p w14:paraId="636FF184">
            <w:r>
              <w:rPr>
                <w:rFonts w:hint="eastAsia"/>
              </w:rPr>
              <w:t>规格</w:t>
            </w:r>
          </w:p>
        </w:tc>
        <w:tc>
          <w:tcPr>
            <w:tcW w:w="374" w:type="pct"/>
            <w:vMerge w:val="restart"/>
            <w:tcBorders>
              <w:top w:val="single" w:color="auto" w:sz="8" w:space="0"/>
              <w:right w:val="single" w:color="auto" w:sz="8" w:space="0"/>
            </w:tcBorders>
            <w:vAlign w:val="center"/>
          </w:tcPr>
          <w:p w14:paraId="58912F3E">
            <w:r>
              <w:rPr>
                <w:rFonts w:hint="eastAsia"/>
              </w:rPr>
              <w:t>备注</w:t>
            </w:r>
          </w:p>
        </w:tc>
      </w:tr>
      <w:tr w14:paraId="1627B6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09" w:type="pct"/>
            <w:vMerge w:val="continue"/>
            <w:tcBorders>
              <w:left w:val="single" w:color="auto" w:sz="8" w:space="0"/>
              <w:bottom w:val="single" w:color="auto" w:sz="8" w:space="0"/>
            </w:tcBorders>
            <w:vAlign w:val="center"/>
          </w:tcPr>
          <w:p w14:paraId="0579A49C"/>
        </w:tc>
        <w:tc>
          <w:tcPr>
            <w:tcW w:w="1560" w:type="pct"/>
            <w:vMerge w:val="continue"/>
            <w:tcBorders>
              <w:bottom w:val="single" w:color="auto" w:sz="8" w:space="0"/>
            </w:tcBorders>
            <w:vAlign w:val="center"/>
          </w:tcPr>
          <w:p w14:paraId="26AC9EC9"/>
        </w:tc>
        <w:tc>
          <w:tcPr>
            <w:tcW w:w="1442" w:type="pct"/>
            <w:tcBorders>
              <w:top w:val="single" w:color="auto" w:sz="4" w:space="0"/>
              <w:bottom w:val="single" w:color="auto" w:sz="8" w:space="0"/>
            </w:tcBorders>
            <w:vAlign w:val="center"/>
          </w:tcPr>
          <w:p w14:paraId="47543BA4">
            <w:r>
              <w:rPr>
                <w:rFonts w:hint="eastAsia"/>
              </w:rPr>
              <w:t>量程</w:t>
            </w:r>
          </w:p>
        </w:tc>
        <w:tc>
          <w:tcPr>
            <w:tcW w:w="1215" w:type="pct"/>
            <w:tcBorders>
              <w:bottom w:val="single" w:color="auto" w:sz="8" w:space="0"/>
            </w:tcBorders>
            <w:vAlign w:val="center"/>
          </w:tcPr>
          <w:p w14:paraId="0580EC61">
            <w:r>
              <w:rPr>
                <w:rFonts w:hint="eastAsia"/>
              </w:rPr>
              <w:t>准确度/分度值</w:t>
            </w:r>
          </w:p>
        </w:tc>
        <w:tc>
          <w:tcPr>
            <w:tcW w:w="374" w:type="pct"/>
            <w:vMerge w:val="continue"/>
            <w:tcBorders>
              <w:bottom w:val="single" w:color="auto" w:sz="8" w:space="0"/>
              <w:right w:val="single" w:color="auto" w:sz="8" w:space="0"/>
            </w:tcBorders>
            <w:vAlign w:val="center"/>
          </w:tcPr>
          <w:p w14:paraId="3DF90AFF"/>
        </w:tc>
      </w:tr>
      <w:tr w14:paraId="798DDE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8" w:space="0"/>
              <w:left w:val="single" w:color="auto" w:sz="8" w:space="0"/>
              <w:bottom w:val="single" w:color="auto" w:sz="4" w:space="0"/>
              <w:tl2br w:val="nil"/>
              <w:tr2bl w:val="nil"/>
            </w:tcBorders>
            <w:vAlign w:val="center"/>
          </w:tcPr>
          <w:p w14:paraId="0C94DCE2">
            <w:r>
              <w:rPr>
                <w:rFonts w:hint="eastAsia" w:cstheme="minorEastAsia"/>
              </w:rPr>
              <w:t>1</w:t>
            </w:r>
          </w:p>
        </w:tc>
        <w:tc>
          <w:tcPr>
            <w:tcW w:w="1560" w:type="pct"/>
            <w:tcBorders>
              <w:top w:val="single" w:color="auto" w:sz="8" w:space="0"/>
              <w:bottom w:val="single" w:color="auto" w:sz="4" w:space="0"/>
              <w:tl2br w:val="nil"/>
              <w:tr2bl w:val="nil"/>
            </w:tcBorders>
            <w:shd w:val="clear" w:color="auto" w:fill="auto"/>
            <w:vAlign w:val="center"/>
          </w:tcPr>
          <w:p w14:paraId="45EA80A6">
            <w:r>
              <w:rPr>
                <w:rFonts w:hint="eastAsia"/>
              </w:rPr>
              <w:t>游标卡尺</w:t>
            </w:r>
          </w:p>
        </w:tc>
        <w:tc>
          <w:tcPr>
            <w:tcW w:w="1442" w:type="pct"/>
            <w:tcBorders>
              <w:top w:val="single" w:color="auto" w:sz="8" w:space="0"/>
              <w:bottom w:val="single" w:color="auto" w:sz="4" w:space="0"/>
              <w:tl2br w:val="nil"/>
              <w:tr2bl w:val="nil"/>
            </w:tcBorders>
            <w:shd w:val="clear" w:color="auto" w:fill="auto"/>
            <w:vAlign w:val="center"/>
          </w:tcPr>
          <w:p w14:paraId="50564322">
            <w:r>
              <w:rPr>
                <w:rFonts w:cstheme="minorEastAsia"/>
              </w:rPr>
              <w:t>0</w:t>
            </w:r>
            <w:r>
              <w:rPr>
                <w:rFonts w:hint="eastAsia" w:cstheme="minorEastAsia"/>
              </w:rPr>
              <w:t xml:space="preserve"> mm～</w:t>
            </w:r>
            <w:r>
              <w:rPr>
                <w:rFonts w:cstheme="minorEastAsia"/>
              </w:rPr>
              <w:t>500</w:t>
            </w:r>
            <w:r>
              <w:rPr>
                <w:rFonts w:hint="eastAsia" w:cstheme="minorEastAsia"/>
              </w:rPr>
              <w:t xml:space="preserve"> </w:t>
            </w:r>
            <w:r>
              <w:rPr>
                <w:rFonts w:cstheme="minorEastAsia"/>
              </w:rPr>
              <w:t>mm</w:t>
            </w:r>
          </w:p>
        </w:tc>
        <w:tc>
          <w:tcPr>
            <w:tcW w:w="1215" w:type="pct"/>
            <w:tcBorders>
              <w:top w:val="single" w:color="auto" w:sz="8" w:space="0"/>
              <w:bottom w:val="single" w:color="auto" w:sz="4" w:space="0"/>
              <w:tl2br w:val="nil"/>
              <w:tr2bl w:val="nil"/>
            </w:tcBorders>
            <w:shd w:val="clear" w:color="auto" w:fill="auto"/>
            <w:vAlign w:val="center"/>
          </w:tcPr>
          <w:p w14:paraId="185A5F99">
            <w:r>
              <w:rPr>
                <w:rFonts w:hint="eastAsia" w:cstheme="minorEastAsia"/>
              </w:rPr>
              <w:t>0</w:t>
            </w:r>
            <w:r>
              <w:rPr>
                <w:rFonts w:cstheme="minorEastAsia"/>
              </w:rPr>
              <w:t>.0</w:t>
            </w:r>
            <w:r>
              <w:rPr>
                <w:rFonts w:hint="eastAsia" w:cstheme="minorEastAsia"/>
              </w:rPr>
              <w:t xml:space="preserve">2 </w:t>
            </w:r>
            <w:r>
              <w:rPr>
                <w:rFonts w:cstheme="minorEastAsia"/>
              </w:rPr>
              <w:t>mm</w:t>
            </w:r>
          </w:p>
        </w:tc>
        <w:tc>
          <w:tcPr>
            <w:tcW w:w="374" w:type="pct"/>
            <w:tcBorders>
              <w:top w:val="single" w:color="auto" w:sz="8" w:space="0"/>
              <w:bottom w:val="single" w:color="auto" w:sz="4" w:space="0"/>
              <w:right w:val="single" w:color="auto" w:sz="8" w:space="0"/>
              <w:tl2br w:val="nil"/>
              <w:tr2bl w:val="nil"/>
            </w:tcBorders>
            <w:shd w:val="clear" w:color="auto" w:fill="auto"/>
            <w:vAlign w:val="center"/>
          </w:tcPr>
          <w:p w14:paraId="5E1227CD">
            <w:r>
              <w:rPr>
                <w:rFonts w:hint="eastAsia" w:cstheme="minorEastAsia"/>
              </w:rPr>
              <w:t>—</w:t>
            </w:r>
          </w:p>
        </w:tc>
      </w:tr>
      <w:tr w14:paraId="38E8A8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bottom w:val="single" w:color="auto" w:sz="4" w:space="0"/>
              <w:tl2br w:val="nil"/>
              <w:tr2bl w:val="nil"/>
            </w:tcBorders>
            <w:vAlign w:val="center"/>
          </w:tcPr>
          <w:p w14:paraId="52A39E2F">
            <w:r>
              <w:rPr>
                <w:rFonts w:hint="eastAsia" w:cstheme="minorEastAsia"/>
              </w:rPr>
              <w:t>2</w:t>
            </w:r>
          </w:p>
        </w:tc>
        <w:tc>
          <w:tcPr>
            <w:tcW w:w="1560" w:type="pct"/>
            <w:tcBorders>
              <w:top w:val="single" w:color="auto" w:sz="4" w:space="0"/>
              <w:bottom w:val="single" w:color="auto" w:sz="4" w:space="0"/>
              <w:tl2br w:val="nil"/>
              <w:tr2bl w:val="nil"/>
            </w:tcBorders>
            <w:shd w:val="clear" w:color="auto" w:fill="auto"/>
            <w:vAlign w:val="center"/>
          </w:tcPr>
          <w:p w14:paraId="69F8521B">
            <w:pPr>
              <w:rPr>
                <w:rFonts w:cstheme="minorEastAsia"/>
              </w:rPr>
            </w:pPr>
            <w:r>
              <w:rPr>
                <w:rFonts w:cstheme="minorEastAsia"/>
              </w:rPr>
              <w:t>低电阻测试仪</w:t>
            </w:r>
          </w:p>
        </w:tc>
        <w:tc>
          <w:tcPr>
            <w:tcW w:w="1442" w:type="pct"/>
            <w:tcBorders>
              <w:top w:val="single" w:color="auto" w:sz="4" w:space="0"/>
              <w:bottom w:val="single" w:color="auto" w:sz="4" w:space="0"/>
              <w:tl2br w:val="nil"/>
              <w:tr2bl w:val="nil"/>
            </w:tcBorders>
            <w:shd w:val="clear" w:color="auto" w:fill="auto"/>
            <w:vAlign w:val="center"/>
          </w:tcPr>
          <w:p w14:paraId="2A13D61B">
            <w:pPr>
              <w:numPr>
                <w:ilvl w:val="255"/>
                <w:numId w:val="0"/>
              </w:numPr>
              <w:autoSpaceDE w:val="0"/>
              <w:autoSpaceDN w:val="0"/>
              <w:rPr>
                <w:rFonts w:cstheme="minorEastAsia"/>
              </w:rPr>
            </w:pPr>
            <w:r>
              <w:rPr>
                <w:rFonts w:cstheme="minorEastAsia"/>
              </w:rPr>
              <w:t>2 kΩ/200 Ω/20 Ω/2 Ω/200 mΩ</w:t>
            </w:r>
          </w:p>
        </w:tc>
        <w:tc>
          <w:tcPr>
            <w:tcW w:w="1215" w:type="pct"/>
            <w:tcBorders>
              <w:top w:val="single" w:color="auto" w:sz="4" w:space="0"/>
              <w:bottom w:val="single" w:color="auto" w:sz="4" w:space="0"/>
              <w:tl2br w:val="nil"/>
              <w:tr2bl w:val="nil"/>
            </w:tcBorders>
            <w:shd w:val="clear" w:color="auto" w:fill="auto"/>
            <w:vAlign w:val="center"/>
          </w:tcPr>
          <w:p w14:paraId="560995B6">
            <w:pPr>
              <w:numPr>
                <w:ilvl w:val="255"/>
                <w:numId w:val="0"/>
              </w:numPr>
              <w:rPr>
                <w:rFonts w:cstheme="minorEastAsia"/>
              </w:rPr>
            </w:pPr>
            <w:r>
              <w:rPr>
                <w:rFonts w:cstheme="minorEastAsia"/>
              </w:rPr>
              <w:t>±0.5%/1μΩ</w:t>
            </w:r>
          </w:p>
        </w:tc>
        <w:tc>
          <w:tcPr>
            <w:tcW w:w="374" w:type="pct"/>
            <w:tcBorders>
              <w:top w:val="single" w:color="auto" w:sz="4" w:space="0"/>
              <w:bottom w:val="single" w:color="auto" w:sz="4" w:space="0"/>
              <w:right w:val="single" w:color="auto" w:sz="8" w:space="0"/>
              <w:tl2br w:val="nil"/>
              <w:tr2bl w:val="nil"/>
            </w:tcBorders>
            <w:shd w:val="clear" w:color="auto" w:fill="auto"/>
            <w:vAlign w:val="center"/>
          </w:tcPr>
          <w:p w14:paraId="48C14108">
            <w:pPr>
              <w:rPr>
                <w:kern w:val="0"/>
              </w:rPr>
            </w:pPr>
            <w:r>
              <w:rPr>
                <w:rFonts w:hint="eastAsia" w:cstheme="minorEastAsia"/>
              </w:rPr>
              <w:t>—</w:t>
            </w:r>
          </w:p>
        </w:tc>
      </w:tr>
      <w:tr w14:paraId="6CA27E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tl2br w:val="nil"/>
              <w:tr2bl w:val="nil"/>
            </w:tcBorders>
            <w:vAlign w:val="center"/>
          </w:tcPr>
          <w:p w14:paraId="602D4F4A">
            <w:pPr>
              <w:rPr>
                <w:rFonts w:cstheme="minorEastAsia"/>
              </w:rPr>
            </w:pPr>
            <w:r>
              <w:rPr>
                <w:rFonts w:hint="eastAsia" w:cstheme="minorEastAsia"/>
              </w:rPr>
              <w:t>3</w:t>
            </w:r>
          </w:p>
        </w:tc>
        <w:tc>
          <w:tcPr>
            <w:tcW w:w="1560" w:type="pct"/>
            <w:tcBorders>
              <w:top w:val="single" w:color="auto" w:sz="4" w:space="0"/>
              <w:bottom w:val="single" w:color="auto" w:sz="4" w:space="0"/>
              <w:tl2br w:val="nil"/>
              <w:tr2bl w:val="nil"/>
            </w:tcBorders>
            <w:shd w:val="clear" w:color="auto" w:fill="auto"/>
            <w:vAlign w:val="center"/>
          </w:tcPr>
          <w:p w14:paraId="4547BE79">
            <w:r>
              <w:rPr>
                <w:rFonts w:hint="eastAsia"/>
              </w:rPr>
              <w:t>L</w:t>
            </w:r>
            <w:r>
              <w:t>CR</w:t>
            </w:r>
            <w:r>
              <w:rPr>
                <w:rFonts w:hint="eastAsia"/>
              </w:rPr>
              <w:t>测试仪</w:t>
            </w:r>
          </w:p>
        </w:tc>
        <w:tc>
          <w:tcPr>
            <w:tcW w:w="1442" w:type="pct"/>
            <w:tcBorders>
              <w:top w:val="single" w:color="auto" w:sz="4" w:space="0"/>
              <w:tl2br w:val="nil"/>
              <w:tr2bl w:val="nil"/>
            </w:tcBorders>
            <w:shd w:val="clear" w:color="auto" w:fill="auto"/>
            <w:vAlign w:val="center"/>
          </w:tcPr>
          <w:p w14:paraId="6C62F3B5">
            <w:pPr>
              <w:rPr>
                <w:rFonts w:cstheme="minorEastAsia"/>
              </w:rPr>
            </w:pPr>
            <w:r>
              <w:t>电容C测量范围：10 pF～1 mF</w:t>
            </w:r>
          </w:p>
        </w:tc>
        <w:tc>
          <w:tcPr>
            <w:tcW w:w="1215" w:type="pct"/>
            <w:tcBorders>
              <w:top w:val="single" w:color="auto" w:sz="4" w:space="0"/>
              <w:tl2br w:val="nil"/>
              <w:tr2bl w:val="nil"/>
            </w:tcBorders>
            <w:shd w:val="clear" w:color="auto" w:fill="auto"/>
            <w:vAlign w:val="center"/>
          </w:tcPr>
          <w:p w14:paraId="2B2C5919">
            <w:pPr>
              <w:rPr>
                <w:rFonts w:cstheme="minorEastAsia"/>
              </w:rPr>
            </w:pPr>
            <w:r>
              <w:t>C：(1%被测值)pF±10 pF</w:t>
            </w:r>
          </w:p>
        </w:tc>
        <w:tc>
          <w:tcPr>
            <w:tcW w:w="374" w:type="pct"/>
            <w:tcBorders>
              <w:top w:val="single" w:color="auto" w:sz="4" w:space="0"/>
              <w:right w:val="single" w:color="auto" w:sz="8" w:space="0"/>
              <w:tl2br w:val="nil"/>
              <w:tr2bl w:val="nil"/>
            </w:tcBorders>
            <w:shd w:val="clear" w:color="auto" w:fill="auto"/>
            <w:vAlign w:val="center"/>
          </w:tcPr>
          <w:p w14:paraId="5F62CEC0">
            <w:pPr>
              <w:rPr>
                <w:rFonts w:cstheme="minorEastAsia"/>
              </w:rPr>
            </w:pPr>
            <w:r>
              <w:rPr>
                <w:rFonts w:hint="eastAsia" w:cstheme="minorEastAsia"/>
              </w:rPr>
              <w:t>—</w:t>
            </w:r>
          </w:p>
        </w:tc>
      </w:tr>
      <w:tr w14:paraId="0F1D28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left w:val="single" w:color="auto" w:sz="8" w:space="0"/>
              <w:tl2br w:val="nil"/>
              <w:tr2bl w:val="nil"/>
            </w:tcBorders>
            <w:vAlign w:val="center"/>
          </w:tcPr>
          <w:p w14:paraId="1A168790">
            <w:pPr>
              <w:rPr>
                <w:rFonts w:cstheme="minorEastAsia"/>
              </w:rPr>
            </w:pPr>
            <w:r>
              <w:rPr>
                <w:rFonts w:hint="eastAsia" w:cstheme="minorEastAsia"/>
              </w:rPr>
              <w:t>4</w:t>
            </w:r>
          </w:p>
        </w:tc>
        <w:tc>
          <w:tcPr>
            <w:tcW w:w="1560" w:type="pct"/>
            <w:tcBorders>
              <w:top w:val="single" w:color="auto" w:sz="4" w:space="0"/>
              <w:bottom w:val="single" w:color="auto" w:sz="4" w:space="0"/>
              <w:tl2br w:val="nil"/>
              <w:tr2bl w:val="nil"/>
            </w:tcBorders>
            <w:shd w:val="clear" w:color="auto" w:fill="auto"/>
            <w:vAlign w:val="center"/>
          </w:tcPr>
          <w:p w14:paraId="6D5B60DF">
            <w:r>
              <w:rPr>
                <w:rFonts w:hint="eastAsia"/>
              </w:rPr>
              <w:t>电容器交流耐压测试仪（</w:t>
            </w:r>
            <w:r>
              <w:t>LC型</w:t>
            </w:r>
            <w:r>
              <w:rPr>
                <w:rFonts w:hint="eastAsia"/>
              </w:rPr>
              <w:t>）</w:t>
            </w:r>
          </w:p>
        </w:tc>
        <w:tc>
          <w:tcPr>
            <w:tcW w:w="1442" w:type="pct"/>
            <w:tcBorders>
              <w:tl2br w:val="nil"/>
              <w:tr2bl w:val="nil"/>
            </w:tcBorders>
            <w:shd w:val="clear" w:color="auto" w:fill="auto"/>
            <w:vAlign w:val="center"/>
          </w:tcPr>
          <w:p w14:paraId="1E65BE02">
            <w:pPr>
              <w:rPr>
                <w:rFonts w:asciiTheme="majorEastAsia" w:hAnsiTheme="majorEastAsia" w:eastAsiaTheme="majorEastAsia"/>
              </w:rPr>
            </w:pPr>
            <w:r>
              <w:rPr>
                <w:rFonts w:asciiTheme="majorEastAsia" w:hAnsiTheme="majorEastAsia" w:eastAsiaTheme="majorEastAsia"/>
              </w:rPr>
              <w:t>AC</w:t>
            </w:r>
            <w:r>
              <w:rPr>
                <w:rFonts w:hint="eastAsia" w:asciiTheme="majorEastAsia" w:hAnsiTheme="majorEastAsia" w:eastAsiaTheme="majorEastAsia"/>
              </w:rPr>
              <w:t>：</w:t>
            </w:r>
            <w:r>
              <w:rPr>
                <w:rFonts w:asciiTheme="majorEastAsia" w:hAnsiTheme="majorEastAsia" w:eastAsiaTheme="majorEastAsia"/>
              </w:rPr>
              <w:t>0 ～500</w:t>
            </w:r>
            <w:r>
              <w:rPr>
                <w:rFonts w:hint="eastAsia" w:asciiTheme="majorEastAsia" w:hAnsiTheme="majorEastAsia" w:eastAsiaTheme="majorEastAsia"/>
              </w:rPr>
              <w:t xml:space="preserve"> </w:t>
            </w:r>
            <w:r>
              <w:rPr>
                <w:rFonts w:asciiTheme="majorEastAsia" w:hAnsiTheme="majorEastAsia" w:eastAsiaTheme="majorEastAsia"/>
              </w:rPr>
              <w:t>V</w:t>
            </w:r>
          </w:p>
          <w:p w14:paraId="65A048BD">
            <w:r>
              <w:rPr>
                <w:rFonts w:hint="eastAsia"/>
              </w:rPr>
              <w:t>时间：0</w:t>
            </w:r>
            <w:r>
              <w:rPr>
                <w:rFonts w:asciiTheme="majorEastAsia" w:hAnsiTheme="majorEastAsia" w:eastAsiaTheme="majorEastAsia"/>
              </w:rPr>
              <w:t xml:space="preserve"> ～60</w:t>
            </w:r>
            <w:r>
              <w:rPr>
                <w:rFonts w:hint="eastAsia" w:asciiTheme="majorEastAsia" w:hAnsiTheme="majorEastAsia" w:eastAsiaTheme="majorEastAsia"/>
              </w:rPr>
              <w:t xml:space="preserve"> s</w:t>
            </w:r>
          </w:p>
        </w:tc>
        <w:tc>
          <w:tcPr>
            <w:tcW w:w="1215" w:type="pct"/>
            <w:tcBorders>
              <w:tl2br w:val="nil"/>
              <w:tr2bl w:val="nil"/>
            </w:tcBorders>
            <w:shd w:val="clear" w:color="auto" w:fill="auto"/>
            <w:vAlign w:val="center"/>
          </w:tcPr>
          <w:p w14:paraId="51137312">
            <w:r>
              <w:rPr>
                <w:rFonts w:hint="eastAsia" w:asciiTheme="majorEastAsia" w:hAnsiTheme="majorEastAsia" w:eastAsiaTheme="majorEastAsia"/>
              </w:rPr>
              <w:t>±</w:t>
            </w:r>
            <w:r>
              <w:rPr>
                <w:rFonts w:asciiTheme="majorEastAsia" w:hAnsiTheme="majorEastAsia" w:eastAsiaTheme="majorEastAsia"/>
              </w:rPr>
              <w:t>5%</w:t>
            </w:r>
          </w:p>
        </w:tc>
        <w:tc>
          <w:tcPr>
            <w:tcW w:w="374" w:type="pct"/>
            <w:tcBorders>
              <w:right w:val="single" w:color="auto" w:sz="8" w:space="0"/>
              <w:tl2br w:val="nil"/>
              <w:tr2bl w:val="nil"/>
            </w:tcBorders>
            <w:shd w:val="clear" w:color="auto" w:fill="auto"/>
            <w:vAlign w:val="center"/>
          </w:tcPr>
          <w:p w14:paraId="72324F67">
            <w:pPr>
              <w:rPr>
                <w:rFonts w:cstheme="minorEastAsia"/>
              </w:rPr>
            </w:pPr>
            <w:r>
              <w:rPr>
                <w:rFonts w:hint="eastAsia" w:cstheme="minorEastAsia"/>
              </w:rPr>
              <w:t>—</w:t>
            </w:r>
          </w:p>
        </w:tc>
      </w:tr>
      <w:tr w14:paraId="25B9D3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left w:val="single" w:color="auto" w:sz="8" w:space="0"/>
              <w:tl2br w:val="nil"/>
              <w:tr2bl w:val="nil"/>
            </w:tcBorders>
            <w:vAlign w:val="center"/>
          </w:tcPr>
          <w:p w14:paraId="6CB1B4E7">
            <w:pPr>
              <w:rPr>
                <w:rFonts w:cstheme="minorEastAsia"/>
              </w:rPr>
            </w:pPr>
            <w:r>
              <w:rPr>
                <w:rFonts w:hint="eastAsia" w:cstheme="minorEastAsia"/>
              </w:rPr>
              <w:t>5</w:t>
            </w:r>
          </w:p>
        </w:tc>
        <w:tc>
          <w:tcPr>
            <w:tcW w:w="1560" w:type="pct"/>
            <w:tcBorders>
              <w:top w:val="single" w:color="auto" w:sz="4" w:space="0"/>
              <w:bottom w:val="single" w:color="auto" w:sz="4" w:space="0"/>
              <w:tl2br w:val="nil"/>
              <w:tr2bl w:val="nil"/>
            </w:tcBorders>
            <w:shd w:val="clear" w:color="auto" w:fill="auto"/>
            <w:vAlign w:val="center"/>
          </w:tcPr>
          <w:p w14:paraId="7875E99E">
            <w:r>
              <w:rPr>
                <w:rFonts w:hint="eastAsia"/>
              </w:rPr>
              <w:t>兆欧表（</w:t>
            </w:r>
            <w:r>
              <w:t>QZ3</w:t>
            </w:r>
            <w:r>
              <w:rPr>
                <w:rFonts w:hint="eastAsia"/>
              </w:rPr>
              <w:t>）</w:t>
            </w:r>
          </w:p>
        </w:tc>
        <w:tc>
          <w:tcPr>
            <w:tcW w:w="1442" w:type="pct"/>
            <w:tcBorders>
              <w:tl2br w:val="nil"/>
              <w:tr2bl w:val="nil"/>
            </w:tcBorders>
            <w:shd w:val="clear" w:color="auto" w:fill="auto"/>
            <w:vAlign w:val="center"/>
          </w:tcPr>
          <w:p w14:paraId="5E903B39">
            <w:r>
              <w:t>AC:</w:t>
            </w:r>
            <w:r>
              <w:rPr>
                <w:rFonts w:hint="eastAsia"/>
              </w:rPr>
              <w:t>1</w:t>
            </w:r>
            <w:r>
              <w:t xml:space="preserve">00 V </w:t>
            </w:r>
          </w:p>
        </w:tc>
        <w:tc>
          <w:tcPr>
            <w:tcW w:w="1215" w:type="pct"/>
            <w:tcBorders>
              <w:tl2br w:val="nil"/>
              <w:tr2bl w:val="nil"/>
            </w:tcBorders>
            <w:shd w:val="clear" w:color="auto" w:fill="auto"/>
            <w:vAlign w:val="center"/>
          </w:tcPr>
          <w:p w14:paraId="5E3CD80A">
            <w:r>
              <w:rPr>
                <w:rFonts w:hint="eastAsia"/>
              </w:rPr>
              <w:t>示值误差：±</w:t>
            </w:r>
            <w:r>
              <w:t>20%</w:t>
            </w:r>
          </w:p>
        </w:tc>
        <w:tc>
          <w:tcPr>
            <w:tcW w:w="374" w:type="pct"/>
            <w:tcBorders>
              <w:right w:val="single" w:color="auto" w:sz="8" w:space="0"/>
              <w:tl2br w:val="nil"/>
              <w:tr2bl w:val="nil"/>
            </w:tcBorders>
            <w:shd w:val="clear" w:color="auto" w:fill="auto"/>
            <w:vAlign w:val="center"/>
          </w:tcPr>
          <w:p w14:paraId="5F38EBC5">
            <w:pPr>
              <w:rPr>
                <w:rFonts w:cstheme="minorEastAsia"/>
              </w:rPr>
            </w:pPr>
            <w:r>
              <w:rPr>
                <w:rFonts w:hint="eastAsia" w:cstheme="minorEastAsia"/>
              </w:rPr>
              <w:t>—</w:t>
            </w:r>
          </w:p>
        </w:tc>
      </w:tr>
      <w:tr w14:paraId="65B217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left w:val="single" w:color="auto" w:sz="8" w:space="0"/>
              <w:bottom w:val="single" w:color="auto" w:sz="4" w:space="0"/>
              <w:tl2br w:val="nil"/>
              <w:tr2bl w:val="nil"/>
            </w:tcBorders>
            <w:vAlign w:val="center"/>
          </w:tcPr>
          <w:p w14:paraId="68ECA7CE">
            <w:pPr>
              <w:rPr>
                <w:rFonts w:cstheme="minorEastAsia"/>
              </w:rPr>
            </w:pPr>
            <w:r>
              <w:rPr>
                <w:rFonts w:hint="eastAsia" w:cstheme="minorEastAsia"/>
              </w:rPr>
              <w:t>6</w:t>
            </w:r>
          </w:p>
        </w:tc>
        <w:tc>
          <w:tcPr>
            <w:tcW w:w="1560" w:type="pct"/>
            <w:tcBorders>
              <w:top w:val="single" w:color="auto" w:sz="4" w:space="0"/>
              <w:bottom w:val="single" w:color="auto" w:sz="4" w:space="0"/>
              <w:tl2br w:val="nil"/>
              <w:tr2bl w:val="nil"/>
            </w:tcBorders>
            <w:shd w:val="clear" w:color="auto" w:fill="auto"/>
            <w:vAlign w:val="center"/>
          </w:tcPr>
          <w:p w14:paraId="59EE8910">
            <w:r>
              <w:rPr>
                <w:rFonts w:hint="eastAsia"/>
              </w:rPr>
              <w:t>针焰试验机</w:t>
            </w:r>
          </w:p>
        </w:tc>
        <w:tc>
          <w:tcPr>
            <w:tcW w:w="1442" w:type="pct"/>
            <w:tcBorders>
              <w:bottom w:val="single" w:color="auto" w:sz="4" w:space="0"/>
              <w:tl2br w:val="nil"/>
              <w:tr2bl w:val="nil"/>
            </w:tcBorders>
            <w:shd w:val="clear" w:color="auto" w:fill="auto"/>
            <w:vAlign w:val="center"/>
          </w:tcPr>
          <w:p w14:paraId="2F0D14FD">
            <w:r>
              <w:rPr>
                <w:rFonts w:hint="eastAsia"/>
              </w:rPr>
              <w:t>0.5 m</w:t>
            </w:r>
            <w:r>
              <w:rPr>
                <w:rFonts w:hint="eastAsia"/>
                <w:vertAlign w:val="superscript"/>
              </w:rPr>
              <w:t>3</w:t>
            </w:r>
            <w:r>
              <w:rPr>
                <w:rFonts w:hint="eastAsia"/>
              </w:rPr>
              <w:t>；计时器30 s；燃烧器长度≥35 mm，燃烧器外径≤0.9 mm，燃烧器内径：（0.5±0.1）mm</w:t>
            </w:r>
          </w:p>
        </w:tc>
        <w:tc>
          <w:tcPr>
            <w:tcW w:w="1215" w:type="pct"/>
            <w:tcBorders>
              <w:bottom w:val="single" w:color="auto" w:sz="4" w:space="0"/>
              <w:tl2br w:val="nil"/>
              <w:tr2bl w:val="nil"/>
            </w:tcBorders>
            <w:shd w:val="clear" w:color="auto" w:fill="auto"/>
            <w:vAlign w:val="center"/>
          </w:tcPr>
          <w:p w14:paraId="23EAF026">
            <w:r>
              <w:rPr>
                <w:rFonts w:hint="eastAsia"/>
              </w:rPr>
              <w:t>±1.0 s</w:t>
            </w:r>
          </w:p>
        </w:tc>
        <w:tc>
          <w:tcPr>
            <w:tcW w:w="374" w:type="pct"/>
            <w:tcBorders>
              <w:bottom w:val="single" w:color="auto" w:sz="4" w:space="0"/>
              <w:right w:val="single" w:color="auto" w:sz="8" w:space="0"/>
              <w:tl2br w:val="nil"/>
              <w:tr2bl w:val="nil"/>
            </w:tcBorders>
            <w:shd w:val="clear" w:color="auto" w:fill="auto"/>
            <w:vAlign w:val="center"/>
          </w:tcPr>
          <w:p w14:paraId="070BAB2A">
            <w:pPr>
              <w:rPr>
                <w:rFonts w:cstheme="minorEastAsia"/>
              </w:rPr>
            </w:pPr>
            <w:r>
              <w:rPr>
                <w:rFonts w:hint="eastAsia" w:cstheme="minorEastAsia"/>
              </w:rPr>
              <w:t>—</w:t>
            </w:r>
          </w:p>
        </w:tc>
      </w:tr>
      <w:tr w14:paraId="321AC9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bottom w:val="single" w:color="auto" w:sz="4" w:space="0"/>
              <w:tl2br w:val="nil"/>
              <w:tr2bl w:val="nil"/>
            </w:tcBorders>
            <w:vAlign w:val="center"/>
          </w:tcPr>
          <w:p w14:paraId="57FFA4EB">
            <w:pPr>
              <w:rPr>
                <w:rFonts w:cstheme="minorEastAsia"/>
              </w:rPr>
            </w:pPr>
            <w:r>
              <w:rPr>
                <w:rFonts w:hint="eastAsia" w:cstheme="minorEastAsia"/>
              </w:rPr>
              <w:t>7</w:t>
            </w:r>
          </w:p>
        </w:tc>
        <w:tc>
          <w:tcPr>
            <w:tcW w:w="1560" w:type="pct"/>
            <w:tcBorders>
              <w:top w:val="single" w:color="auto" w:sz="4" w:space="0"/>
              <w:bottom w:val="single" w:color="auto" w:sz="4" w:space="0"/>
              <w:tl2br w:val="nil"/>
              <w:tr2bl w:val="nil"/>
            </w:tcBorders>
            <w:shd w:val="clear" w:color="auto" w:fill="auto"/>
            <w:vAlign w:val="center"/>
          </w:tcPr>
          <w:p w14:paraId="0566A271">
            <w:r>
              <w:rPr>
                <w:rFonts w:hint="eastAsia"/>
              </w:rPr>
              <w:t>耐压测试仪</w:t>
            </w:r>
          </w:p>
        </w:tc>
        <w:tc>
          <w:tcPr>
            <w:tcW w:w="1442" w:type="pct"/>
            <w:tcBorders>
              <w:top w:val="single" w:color="auto" w:sz="4" w:space="0"/>
              <w:bottom w:val="single" w:color="auto" w:sz="4" w:space="0"/>
              <w:tl2br w:val="nil"/>
              <w:tr2bl w:val="nil"/>
            </w:tcBorders>
            <w:shd w:val="clear" w:color="auto" w:fill="auto"/>
            <w:vAlign w:val="center"/>
          </w:tcPr>
          <w:p w14:paraId="4D727F13">
            <w:r>
              <w:rPr>
                <w:rFonts w:asciiTheme="majorEastAsia" w:hAnsiTheme="majorEastAsia" w:eastAsiaTheme="majorEastAsia"/>
              </w:rPr>
              <w:t>AC</w:t>
            </w:r>
            <w:r>
              <w:rPr>
                <w:rFonts w:hint="eastAsia" w:asciiTheme="majorEastAsia" w:hAnsiTheme="majorEastAsia" w:eastAsiaTheme="majorEastAsia"/>
              </w:rPr>
              <w:t>：</w:t>
            </w:r>
            <w:r>
              <w:rPr>
                <w:rFonts w:asciiTheme="majorEastAsia" w:hAnsiTheme="majorEastAsia" w:eastAsiaTheme="majorEastAsia"/>
              </w:rPr>
              <w:t>0 kV～5</w:t>
            </w:r>
            <w:r>
              <w:rPr>
                <w:rFonts w:hint="eastAsia" w:asciiTheme="majorEastAsia" w:hAnsiTheme="majorEastAsia" w:eastAsiaTheme="majorEastAsia"/>
              </w:rPr>
              <w:t xml:space="preserve"> </w:t>
            </w:r>
            <w:r>
              <w:rPr>
                <w:rFonts w:asciiTheme="majorEastAsia" w:hAnsiTheme="majorEastAsia" w:eastAsiaTheme="majorEastAsia"/>
              </w:rPr>
              <w:t xml:space="preserve">kV </w:t>
            </w:r>
          </w:p>
        </w:tc>
        <w:tc>
          <w:tcPr>
            <w:tcW w:w="1215" w:type="pct"/>
            <w:tcBorders>
              <w:top w:val="single" w:color="auto" w:sz="4" w:space="0"/>
              <w:bottom w:val="single" w:color="auto" w:sz="4" w:space="0"/>
              <w:tl2br w:val="nil"/>
              <w:tr2bl w:val="nil"/>
            </w:tcBorders>
            <w:shd w:val="clear" w:color="auto" w:fill="auto"/>
            <w:vAlign w:val="center"/>
          </w:tcPr>
          <w:p w14:paraId="3C81D451">
            <w:r>
              <w:rPr>
                <w:rFonts w:hint="eastAsia" w:asciiTheme="majorEastAsia" w:hAnsiTheme="majorEastAsia" w:eastAsiaTheme="majorEastAsia"/>
              </w:rPr>
              <w:t>±</w:t>
            </w:r>
            <w:r>
              <w:rPr>
                <w:rFonts w:asciiTheme="majorEastAsia" w:hAnsiTheme="majorEastAsia" w:eastAsiaTheme="majorEastAsia"/>
              </w:rPr>
              <w:t>5%</w:t>
            </w:r>
          </w:p>
        </w:tc>
        <w:tc>
          <w:tcPr>
            <w:tcW w:w="374" w:type="pct"/>
            <w:tcBorders>
              <w:top w:val="single" w:color="auto" w:sz="4" w:space="0"/>
              <w:bottom w:val="single" w:color="auto" w:sz="4" w:space="0"/>
              <w:right w:val="single" w:color="auto" w:sz="8" w:space="0"/>
              <w:tl2br w:val="nil"/>
              <w:tr2bl w:val="nil"/>
            </w:tcBorders>
            <w:shd w:val="clear" w:color="auto" w:fill="auto"/>
            <w:vAlign w:val="center"/>
          </w:tcPr>
          <w:p w14:paraId="5BBB0E27">
            <w:pPr>
              <w:rPr>
                <w:rFonts w:cstheme="minorEastAsia"/>
              </w:rPr>
            </w:pPr>
            <w:r>
              <w:rPr>
                <w:rFonts w:hint="eastAsia" w:cstheme="minorEastAsia"/>
              </w:rPr>
              <w:t>—</w:t>
            </w:r>
          </w:p>
        </w:tc>
      </w:tr>
      <w:tr w14:paraId="086EDB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bottom w:val="single" w:color="auto" w:sz="4" w:space="0"/>
              <w:tl2br w:val="nil"/>
              <w:tr2bl w:val="nil"/>
            </w:tcBorders>
            <w:vAlign w:val="center"/>
          </w:tcPr>
          <w:p w14:paraId="07CDC9F3">
            <w:pPr>
              <w:rPr>
                <w:rFonts w:cstheme="minorEastAsia"/>
              </w:rPr>
            </w:pPr>
            <w:r>
              <w:rPr>
                <w:rFonts w:hint="eastAsia" w:cstheme="minorEastAsia"/>
              </w:rPr>
              <w:t>8</w:t>
            </w:r>
          </w:p>
        </w:tc>
        <w:tc>
          <w:tcPr>
            <w:tcW w:w="1560" w:type="pct"/>
            <w:tcBorders>
              <w:top w:val="single" w:color="auto" w:sz="4" w:space="0"/>
              <w:bottom w:val="single" w:color="auto" w:sz="4" w:space="0"/>
              <w:tl2br w:val="nil"/>
              <w:tr2bl w:val="nil"/>
            </w:tcBorders>
            <w:shd w:val="clear" w:color="auto" w:fill="auto"/>
            <w:vAlign w:val="center"/>
          </w:tcPr>
          <w:p w14:paraId="7CC91CC1">
            <w:r>
              <w:rPr>
                <w:rFonts w:hint="eastAsia"/>
              </w:rPr>
              <w:t>绝缘电阻测试仪</w:t>
            </w:r>
          </w:p>
        </w:tc>
        <w:tc>
          <w:tcPr>
            <w:tcW w:w="1442" w:type="pct"/>
            <w:tcBorders>
              <w:top w:val="single" w:color="auto" w:sz="4" w:space="0"/>
              <w:bottom w:val="single" w:color="auto" w:sz="4" w:space="0"/>
              <w:tl2br w:val="nil"/>
              <w:tr2bl w:val="nil"/>
            </w:tcBorders>
            <w:shd w:val="clear" w:color="auto" w:fill="auto"/>
            <w:vAlign w:val="center"/>
          </w:tcPr>
          <w:p w14:paraId="4A612222">
            <w:pPr>
              <w:rPr>
                <w:rFonts w:asciiTheme="majorEastAsia" w:hAnsiTheme="majorEastAsia" w:eastAsiaTheme="majorEastAsia"/>
              </w:rPr>
            </w:pPr>
            <w:r>
              <w:rPr>
                <w:rFonts w:asciiTheme="majorEastAsia" w:hAnsiTheme="majorEastAsia" w:eastAsiaTheme="majorEastAsia"/>
              </w:rPr>
              <w:t>500 V</w:t>
            </w:r>
            <w:r>
              <w:rPr>
                <w:rFonts w:hint="eastAsia" w:asciiTheme="majorEastAsia" w:hAnsiTheme="majorEastAsia" w:eastAsiaTheme="majorEastAsia"/>
              </w:rPr>
              <w:t xml:space="preserve"> </w:t>
            </w:r>
            <w:r>
              <w:rPr>
                <w:rFonts w:asciiTheme="majorEastAsia" w:hAnsiTheme="majorEastAsia" w:eastAsiaTheme="majorEastAsia"/>
              </w:rPr>
              <w:t>1 0</w:t>
            </w:r>
            <w:r>
              <w:rPr>
                <w:rFonts w:hint="eastAsia" w:asciiTheme="majorEastAsia" w:hAnsiTheme="majorEastAsia" w:eastAsiaTheme="majorEastAsia"/>
              </w:rPr>
              <w:t>00</w:t>
            </w:r>
            <w:r>
              <w:rPr>
                <w:rFonts w:asciiTheme="majorEastAsia" w:hAnsiTheme="majorEastAsia" w:eastAsiaTheme="majorEastAsia"/>
              </w:rPr>
              <w:t xml:space="preserve"> MΩ</w:t>
            </w:r>
          </w:p>
        </w:tc>
        <w:tc>
          <w:tcPr>
            <w:tcW w:w="1215" w:type="pct"/>
            <w:tcBorders>
              <w:top w:val="single" w:color="auto" w:sz="4" w:space="0"/>
              <w:bottom w:val="single" w:color="auto" w:sz="4" w:space="0"/>
              <w:tl2br w:val="nil"/>
              <w:tr2bl w:val="nil"/>
            </w:tcBorders>
            <w:shd w:val="clear" w:color="auto" w:fill="auto"/>
            <w:vAlign w:val="center"/>
          </w:tcPr>
          <w:p w14:paraId="0B673C4F">
            <w:pPr>
              <w:rPr>
                <w:rFonts w:asciiTheme="majorEastAsia" w:hAnsiTheme="majorEastAsia" w:eastAsiaTheme="majorEastAsia"/>
              </w:rPr>
            </w:pPr>
            <w:r>
              <w:rPr>
                <w:rFonts w:hint="eastAsia" w:asciiTheme="majorEastAsia" w:hAnsiTheme="majorEastAsia" w:eastAsiaTheme="majorEastAsia"/>
              </w:rPr>
              <w:t>±10</w:t>
            </w:r>
            <w:r>
              <w:rPr>
                <w:rFonts w:asciiTheme="majorEastAsia" w:hAnsiTheme="majorEastAsia" w:eastAsiaTheme="majorEastAsia"/>
              </w:rPr>
              <w:t>%</w:t>
            </w:r>
          </w:p>
        </w:tc>
        <w:tc>
          <w:tcPr>
            <w:tcW w:w="374" w:type="pct"/>
            <w:tcBorders>
              <w:top w:val="single" w:color="auto" w:sz="4" w:space="0"/>
              <w:bottom w:val="single" w:color="auto" w:sz="4" w:space="0"/>
              <w:right w:val="single" w:color="auto" w:sz="8" w:space="0"/>
              <w:tl2br w:val="nil"/>
              <w:tr2bl w:val="nil"/>
            </w:tcBorders>
            <w:shd w:val="clear" w:color="auto" w:fill="auto"/>
            <w:vAlign w:val="center"/>
          </w:tcPr>
          <w:p w14:paraId="128160E5">
            <w:pPr>
              <w:rPr>
                <w:rFonts w:cstheme="minorEastAsia"/>
              </w:rPr>
            </w:pPr>
            <w:r>
              <w:rPr>
                <w:rFonts w:hint="eastAsia" w:cstheme="minorEastAsia"/>
              </w:rPr>
              <w:t>—</w:t>
            </w:r>
          </w:p>
        </w:tc>
      </w:tr>
      <w:tr w14:paraId="61C2B7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bottom w:val="single" w:color="auto" w:sz="4" w:space="0"/>
              <w:tl2br w:val="nil"/>
              <w:tr2bl w:val="nil"/>
            </w:tcBorders>
            <w:vAlign w:val="center"/>
          </w:tcPr>
          <w:p w14:paraId="64BD2F75">
            <w:pPr>
              <w:rPr>
                <w:rFonts w:cstheme="minorEastAsia"/>
              </w:rPr>
            </w:pPr>
            <w:r>
              <w:rPr>
                <w:rFonts w:hint="eastAsia" w:cstheme="minorEastAsia"/>
              </w:rPr>
              <w:t>9</w:t>
            </w:r>
          </w:p>
        </w:tc>
        <w:tc>
          <w:tcPr>
            <w:tcW w:w="1560" w:type="pct"/>
            <w:tcBorders>
              <w:top w:val="single" w:color="auto" w:sz="4" w:space="0"/>
              <w:tl2br w:val="nil"/>
              <w:tr2bl w:val="nil"/>
            </w:tcBorders>
            <w:shd w:val="clear" w:color="auto" w:fill="auto"/>
            <w:vAlign w:val="center"/>
          </w:tcPr>
          <w:p w14:paraId="48D278A4">
            <w:pPr>
              <w:pStyle w:val="63"/>
              <w:numPr>
                <w:ilvl w:val="255"/>
                <w:numId w:val="0"/>
              </w:numPr>
            </w:pPr>
            <w:r>
              <w:rPr>
                <w:rFonts w:hint="eastAsia"/>
              </w:rPr>
              <w:t>灼热丝试验仪</w:t>
            </w:r>
          </w:p>
        </w:tc>
        <w:tc>
          <w:tcPr>
            <w:tcW w:w="1442" w:type="pct"/>
            <w:tcBorders>
              <w:top w:val="single" w:color="auto" w:sz="4" w:space="0"/>
              <w:tl2br w:val="nil"/>
              <w:tr2bl w:val="nil"/>
            </w:tcBorders>
            <w:shd w:val="clear" w:color="auto" w:fill="auto"/>
            <w:vAlign w:val="center"/>
          </w:tcPr>
          <w:p w14:paraId="4D6AFCF3">
            <w:pPr>
              <w:pStyle w:val="63"/>
              <w:numPr>
                <w:ilvl w:val="255"/>
                <w:numId w:val="0"/>
              </w:numPr>
              <w:rPr>
                <w:rFonts w:cstheme="minorEastAsia"/>
              </w:rPr>
            </w:pPr>
            <w:r>
              <w:rPr>
                <w:rFonts w:hint="eastAsia"/>
              </w:rPr>
              <w:t>灼热丝直径≥3.60 mm</w:t>
            </w:r>
          </w:p>
        </w:tc>
        <w:tc>
          <w:tcPr>
            <w:tcW w:w="1215" w:type="pct"/>
            <w:tcBorders>
              <w:top w:val="single" w:color="auto" w:sz="4" w:space="0"/>
              <w:tl2br w:val="nil"/>
              <w:tr2bl w:val="nil"/>
            </w:tcBorders>
            <w:shd w:val="clear" w:color="auto" w:fill="auto"/>
            <w:vAlign w:val="center"/>
          </w:tcPr>
          <w:p w14:paraId="1C76DA29">
            <w:pPr>
              <w:spacing w:before="156" w:beforeLines="50"/>
            </w:pPr>
            <w:r>
              <w:rPr>
                <w:rFonts w:hint="eastAsia"/>
              </w:rPr>
              <w:t>温控表示值±1℃</w:t>
            </w:r>
          </w:p>
          <w:p w14:paraId="169C0F3E">
            <w:pPr>
              <w:pStyle w:val="63"/>
              <w:numPr>
                <w:ilvl w:val="255"/>
                <w:numId w:val="0"/>
              </w:numPr>
            </w:pPr>
            <w:r>
              <w:rPr>
                <w:rFonts w:hint="eastAsia"/>
              </w:rPr>
              <w:t>时间校准±1.00 s</w:t>
            </w:r>
          </w:p>
        </w:tc>
        <w:tc>
          <w:tcPr>
            <w:tcW w:w="374" w:type="pct"/>
            <w:tcBorders>
              <w:top w:val="single" w:color="auto" w:sz="4" w:space="0"/>
              <w:right w:val="single" w:color="auto" w:sz="8" w:space="0"/>
              <w:tl2br w:val="nil"/>
              <w:tr2bl w:val="nil"/>
            </w:tcBorders>
            <w:shd w:val="clear" w:color="auto" w:fill="auto"/>
            <w:vAlign w:val="center"/>
          </w:tcPr>
          <w:p w14:paraId="7C0187C6">
            <w:pPr>
              <w:rPr>
                <w:rFonts w:cstheme="minorEastAsia"/>
              </w:rPr>
            </w:pPr>
            <w:r>
              <w:rPr>
                <w:rFonts w:hint="eastAsia" w:cstheme="minorEastAsia"/>
              </w:rPr>
              <w:t>—</w:t>
            </w:r>
          </w:p>
        </w:tc>
      </w:tr>
      <w:tr w14:paraId="62AD83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bottom w:val="single" w:color="auto" w:sz="4" w:space="0"/>
              <w:tl2br w:val="nil"/>
              <w:tr2bl w:val="nil"/>
            </w:tcBorders>
            <w:vAlign w:val="center"/>
          </w:tcPr>
          <w:p w14:paraId="060104CA">
            <w:pPr>
              <w:rPr>
                <w:rFonts w:cstheme="minorEastAsia"/>
              </w:rPr>
            </w:pPr>
            <w:r>
              <w:t>10</w:t>
            </w:r>
          </w:p>
        </w:tc>
        <w:tc>
          <w:tcPr>
            <w:tcW w:w="1560" w:type="pct"/>
            <w:tcBorders>
              <w:tl2br w:val="nil"/>
              <w:tr2bl w:val="nil"/>
            </w:tcBorders>
            <w:shd w:val="clear" w:color="auto" w:fill="auto"/>
            <w:vAlign w:val="center"/>
          </w:tcPr>
          <w:p w14:paraId="70216DFB">
            <w:pPr>
              <w:pStyle w:val="63"/>
              <w:numPr>
                <w:ilvl w:val="255"/>
                <w:numId w:val="0"/>
              </w:numPr>
            </w:pPr>
            <w:r>
              <w:rPr>
                <w:rFonts w:hint="eastAsia" w:cstheme="minorEastAsia"/>
              </w:rPr>
              <w:t>高低温交变湿热试验箱</w:t>
            </w:r>
          </w:p>
        </w:tc>
        <w:tc>
          <w:tcPr>
            <w:tcW w:w="1442" w:type="pct"/>
            <w:tcBorders>
              <w:tl2br w:val="nil"/>
              <w:tr2bl w:val="nil"/>
            </w:tcBorders>
            <w:shd w:val="clear" w:color="auto" w:fill="auto"/>
            <w:vAlign w:val="center"/>
          </w:tcPr>
          <w:p w14:paraId="4D8523A7">
            <w:pPr>
              <w:pStyle w:val="63"/>
              <w:numPr>
                <w:ilvl w:val="255"/>
                <w:numId w:val="0"/>
              </w:numPr>
              <w:rPr>
                <w:rFonts w:asciiTheme="majorEastAsia" w:hAnsiTheme="majorEastAsia" w:eastAsiaTheme="majorEastAsia"/>
              </w:rPr>
            </w:pPr>
            <w:r>
              <w:rPr>
                <w:rFonts w:hint="eastAsia" w:asciiTheme="majorEastAsia" w:hAnsiTheme="majorEastAsia" w:eastAsiaTheme="majorEastAsia" w:cstheme="minorEastAsia"/>
              </w:rPr>
              <w:t>温度-40</w:t>
            </w:r>
            <w:r>
              <w:rPr>
                <w:rFonts w:asciiTheme="majorEastAsia" w:hAnsiTheme="majorEastAsia" w:eastAsiaTheme="majorEastAsia" w:cstheme="minorEastAsia"/>
              </w:rPr>
              <w:t xml:space="preserve"> </w:t>
            </w:r>
            <w:r>
              <w:rPr>
                <w:rFonts w:hint="eastAsia" w:asciiTheme="majorEastAsia" w:hAnsiTheme="majorEastAsia" w:eastAsiaTheme="majorEastAsia" w:cstheme="minorEastAsia"/>
              </w:rPr>
              <w:t>℃</w:t>
            </w:r>
            <w:r>
              <w:rPr>
                <w:rFonts w:asciiTheme="majorEastAsia" w:hAnsiTheme="majorEastAsia" w:eastAsiaTheme="majorEastAsia"/>
              </w:rPr>
              <w:t>～</w:t>
            </w:r>
            <w:r>
              <w:rPr>
                <w:rFonts w:hint="eastAsia" w:asciiTheme="majorEastAsia" w:hAnsiTheme="majorEastAsia" w:eastAsiaTheme="majorEastAsia"/>
              </w:rPr>
              <w:t>+100</w:t>
            </w:r>
            <w:r>
              <w:rPr>
                <w:rFonts w:asciiTheme="majorEastAsia" w:hAnsiTheme="majorEastAsia" w:eastAsiaTheme="majorEastAsia"/>
              </w:rPr>
              <w:t xml:space="preserve"> </w:t>
            </w:r>
            <w:r>
              <w:rPr>
                <w:rFonts w:hint="eastAsia" w:asciiTheme="majorEastAsia" w:hAnsiTheme="majorEastAsia" w:eastAsiaTheme="majorEastAsia"/>
              </w:rPr>
              <w:t>℃</w:t>
            </w:r>
          </w:p>
          <w:p w14:paraId="07B5A60C">
            <w:pPr>
              <w:pStyle w:val="63"/>
              <w:numPr>
                <w:ilvl w:val="255"/>
                <w:numId w:val="0"/>
              </w:numPr>
              <w:rPr>
                <w:rFonts w:cstheme="minorEastAsia"/>
              </w:rPr>
            </w:pPr>
            <w:r>
              <w:rPr>
                <w:rFonts w:hint="eastAsia" w:asciiTheme="majorEastAsia" w:hAnsiTheme="majorEastAsia" w:eastAsiaTheme="majorEastAsia"/>
              </w:rPr>
              <w:t>湿度范围：</w:t>
            </w:r>
            <w:r>
              <w:rPr>
                <w:rFonts w:asciiTheme="majorEastAsia" w:hAnsiTheme="majorEastAsia" w:eastAsiaTheme="majorEastAsia" w:cstheme="minorEastAsia"/>
              </w:rPr>
              <w:t xml:space="preserve">20 </w:t>
            </w:r>
            <w:r>
              <w:rPr>
                <w:rFonts w:hint="eastAsia" w:asciiTheme="majorEastAsia" w:hAnsiTheme="majorEastAsia" w:eastAsiaTheme="majorEastAsia"/>
              </w:rPr>
              <w:t>%</w:t>
            </w:r>
            <w:r>
              <w:rPr>
                <w:rFonts w:asciiTheme="majorEastAsia" w:hAnsiTheme="majorEastAsia" w:eastAsiaTheme="majorEastAsia"/>
              </w:rPr>
              <w:t>RH～</w:t>
            </w:r>
            <w:r>
              <w:rPr>
                <w:rFonts w:hint="eastAsia" w:asciiTheme="majorEastAsia" w:hAnsiTheme="majorEastAsia" w:eastAsiaTheme="majorEastAsia"/>
              </w:rPr>
              <w:t>98</w:t>
            </w:r>
            <w:r>
              <w:rPr>
                <w:rFonts w:asciiTheme="majorEastAsia" w:hAnsiTheme="majorEastAsia" w:eastAsiaTheme="majorEastAsia"/>
              </w:rPr>
              <w:t xml:space="preserve"> </w:t>
            </w:r>
            <w:r>
              <w:rPr>
                <w:rFonts w:hint="eastAsia" w:asciiTheme="majorEastAsia" w:hAnsiTheme="majorEastAsia" w:eastAsiaTheme="majorEastAsia"/>
              </w:rPr>
              <w:t>%</w:t>
            </w:r>
            <w:r>
              <w:rPr>
                <w:rFonts w:asciiTheme="majorEastAsia" w:hAnsiTheme="majorEastAsia" w:eastAsiaTheme="majorEastAsia"/>
              </w:rPr>
              <w:t>RH</w:t>
            </w:r>
          </w:p>
        </w:tc>
        <w:tc>
          <w:tcPr>
            <w:tcW w:w="1215" w:type="pct"/>
            <w:tcBorders>
              <w:tl2br w:val="nil"/>
              <w:tr2bl w:val="nil"/>
            </w:tcBorders>
            <w:shd w:val="clear" w:color="auto" w:fill="auto"/>
            <w:vAlign w:val="center"/>
          </w:tcPr>
          <w:p w14:paraId="5EAFCECF">
            <w:pPr>
              <w:rPr>
                <w:rFonts w:asciiTheme="majorEastAsia" w:hAnsiTheme="majorEastAsia" w:eastAsiaTheme="majorEastAsia"/>
              </w:rPr>
            </w:pPr>
            <w:r>
              <w:rPr>
                <w:rFonts w:hint="eastAsia" w:asciiTheme="majorEastAsia" w:hAnsiTheme="majorEastAsia" w:eastAsiaTheme="majorEastAsia"/>
              </w:rPr>
              <w:t xml:space="preserve">温度误差 </w:t>
            </w:r>
            <w:r>
              <w:rPr>
                <w:rFonts w:asciiTheme="majorEastAsia" w:hAnsiTheme="majorEastAsia" w:eastAsiaTheme="majorEastAsia"/>
              </w:rPr>
              <w:t xml:space="preserve"> </w:t>
            </w:r>
            <w:r>
              <w:rPr>
                <w:rFonts w:hint="eastAsia" w:asciiTheme="majorEastAsia" w:hAnsiTheme="majorEastAsia" w:eastAsiaTheme="majorEastAsia"/>
              </w:rPr>
              <w:t>±</w:t>
            </w:r>
            <w:r>
              <w:rPr>
                <w:rFonts w:asciiTheme="majorEastAsia" w:hAnsiTheme="majorEastAsia" w:eastAsiaTheme="majorEastAsia"/>
              </w:rPr>
              <w:t>2 ℃</w:t>
            </w:r>
          </w:p>
          <w:p w14:paraId="199DBABC">
            <w:pPr>
              <w:pStyle w:val="63"/>
              <w:numPr>
                <w:ilvl w:val="255"/>
                <w:numId w:val="0"/>
              </w:numPr>
            </w:pPr>
            <w:r>
              <w:rPr>
                <w:rFonts w:hint="eastAsia" w:asciiTheme="majorEastAsia" w:hAnsiTheme="majorEastAsia" w:eastAsiaTheme="majorEastAsia"/>
              </w:rPr>
              <w:t xml:space="preserve">湿度误差 </w:t>
            </w:r>
            <w:r>
              <w:rPr>
                <w:rFonts w:asciiTheme="majorEastAsia" w:hAnsiTheme="majorEastAsia" w:eastAsiaTheme="majorEastAsia"/>
              </w:rPr>
              <w:t xml:space="preserve"> </w:t>
            </w:r>
            <w:r>
              <w:rPr>
                <w:rFonts w:hint="eastAsia" w:asciiTheme="majorEastAsia" w:hAnsiTheme="majorEastAsia" w:eastAsiaTheme="majorEastAsia"/>
              </w:rPr>
              <w:t>±</w:t>
            </w:r>
            <w:r>
              <w:rPr>
                <w:rFonts w:asciiTheme="majorEastAsia" w:hAnsiTheme="majorEastAsia" w:eastAsiaTheme="majorEastAsia"/>
              </w:rPr>
              <w:t>3 %RH</w:t>
            </w:r>
          </w:p>
        </w:tc>
        <w:tc>
          <w:tcPr>
            <w:tcW w:w="374" w:type="pct"/>
            <w:tcBorders>
              <w:right w:val="single" w:color="auto" w:sz="8" w:space="0"/>
              <w:tl2br w:val="nil"/>
              <w:tr2bl w:val="nil"/>
            </w:tcBorders>
            <w:shd w:val="clear" w:color="auto" w:fill="auto"/>
            <w:vAlign w:val="center"/>
          </w:tcPr>
          <w:p w14:paraId="5311887A">
            <w:pPr>
              <w:rPr>
                <w:rFonts w:cstheme="minorEastAsia"/>
              </w:rPr>
            </w:pPr>
            <w:r>
              <w:rPr>
                <w:rFonts w:hint="eastAsia" w:cstheme="minorEastAsia"/>
              </w:rPr>
              <w:t>—</w:t>
            </w:r>
          </w:p>
        </w:tc>
      </w:tr>
      <w:tr w14:paraId="5BA5C6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bottom w:val="single" w:color="auto" w:sz="4" w:space="0"/>
              <w:tl2br w:val="nil"/>
              <w:tr2bl w:val="nil"/>
            </w:tcBorders>
            <w:vAlign w:val="center"/>
          </w:tcPr>
          <w:p w14:paraId="35976435">
            <w:pPr>
              <w:rPr>
                <w:rFonts w:cstheme="minorEastAsia"/>
              </w:rPr>
            </w:pPr>
            <w:r>
              <w:rPr>
                <w:rFonts w:hint="eastAsia" w:cstheme="minorEastAsia"/>
              </w:rPr>
              <w:t>1</w:t>
            </w:r>
            <w:r>
              <w:rPr>
                <w:rFonts w:cstheme="minorEastAsia"/>
              </w:rPr>
              <w:t>1</w:t>
            </w:r>
          </w:p>
        </w:tc>
        <w:tc>
          <w:tcPr>
            <w:tcW w:w="1560" w:type="pct"/>
            <w:tcBorders>
              <w:bottom w:val="single" w:color="auto" w:sz="4" w:space="0"/>
              <w:tl2br w:val="nil"/>
              <w:tr2bl w:val="nil"/>
            </w:tcBorders>
            <w:shd w:val="clear" w:color="auto" w:fill="auto"/>
            <w:vAlign w:val="center"/>
          </w:tcPr>
          <w:p w14:paraId="0BEC11E9">
            <w:pPr>
              <w:pStyle w:val="63"/>
              <w:numPr>
                <w:ilvl w:val="255"/>
                <w:numId w:val="0"/>
              </w:numPr>
            </w:pPr>
            <w:r>
              <w:rPr>
                <w:rFonts w:hint="eastAsia" w:cstheme="minorEastAsia"/>
              </w:rPr>
              <w:t>电动振动试验台</w:t>
            </w:r>
          </w:p>
        </w:tc>
        <w:tc>
          <w:tcPr>
            <w:tcW w:w="1442" w:type="pct"/>
            <w:tcBorders>
              <w:tl2br w:val="nil"/>
              <w:tr2bl w:val="nil"/>
            </w:tcBorders>
            <w:shd w:val="clear" w:color="auto" w:fill="auto"/>
            <w:vAlign w:val="center"/>
          </w:tcPr>
          <w:p w14:paraId="7A77C426">
            <w:pPr>
              <w:pStyle w:val="63"/>
              <w:numPr>
                <w:ilvl w:val="255"/>
                <w:numId w:val="0"/>
              </w:numPr>
              <w:rPr>
                <w:rFonts w:asciiTheme="majorEastAsia" w:hAnsiTheme="majorEastAsia" w:eastAsiaTheme="majorEastAsia"/>
              </w:rPr>
            </w:pPr>
            <w:r>
              <w:rPr>
                <w:rFonts w:hint="eastAsia" w:asciiTheme="majorEastAsia" w:hAnsiTheme="majorEastAsia" w:eastAsiaTheme="majorEastAsia"/>
              </w:rPr>
              <w:t>最大推力8</w:t>
            </w:r>
            <w:r>
              <w:rPr>
                <w:rFonts w:asciiTheme="majorEastAsia" w:hAnsiTheme="majorEastAsia" w:eastAsiaTheme="majorEastAsia"/>
              </w:rPr>
              <w:t xml:space="preserve"> </w:t>
            </w:r>
            <w:r>
              <w:rPr>
                <w:rFonts w:hint="eastAsia" w:asciiTheme="majorEastAsia" w:hAnsiTheme="majorEastAsia" w:eastAsiaTheme="majorEastAsia"/>
              </w:rPr>
              <w:t>000</w:t>
            </w:r>
            <w:r>
              <w:rPr>
                <w:rFonts w:asciiTheme="majorEastAsia" w:hAnsiTheme="majorEastAsia" w:eastAsiaTheme="majorEastAsia"/>
              </w:rPr>
              <w:t xml:space="preserve"> </w:t>
            </w:r>
            <w:r>
              <w:rPr>
                <w:rFonts w:hint="eastAsia" w:asciiTheme="majorEastAsia" w:hAnsiTheme="majorEastAsia" w:eastAsiaTheme="majorEastAsia"/>
              </w:rPr>
              <w:t>kgf，</w:t>
            </w:r>
          </w:p>
          <w:p w14:paraId="5FACE1F6">
            <w:pPr>
              <w:pStyle w:val="63"/>
              <w:numPr>
                <w:ilvl w:val="255"/>
                <w:numId w:val="0"/>
              </w:numPr>
              <w:rPr>
                <w:rFonts w:cstheme="minorEastAsia"/>
              </w:rPr>
            </w:pPr>
            <w:r>
              <w:rPr>
                <w:rFonts w:hint="eastAsia" w:asciiTheme="majorEastAsia" w:hAnsiTheme="majorEastAsia" w:eastAsiaTheme="majorEastAsia"/>
              </w:rPr>
              <w:t>频率范围</w:t>
            </w:r>
            <w:r>
              <w:rPr>
                <w:rFonts w:asciiTheme="majorEastAsia" w:hAnsiTheme="majorEastAsia" w:eastAsiaTheme="majorEastAsia"/>
              </w:rPr>
              <w:t>5</w:t>
            </w:r>
            <w:r>
              <w:rPr>
                <w:rFonts w:hint="eastAsia" w:asciiTheme="majorEastAsia" w:hAnsiTheme="majorEastAsia" w:eastAsiaTheme="majorEastAsia"/>
              </w:rPr>
              <w:t xml:space="preserve"> Hz</w:t>
            </w:r>
            <w:r>
              <w:rPr>
                <w:rFonts w:asciiTheme="majorEastAsia" w:hAnsiTheme="majorEastAsia" w:eastAsiaTheme="majorEastAsia"/>
              </w:rPr>
              <w:t>～2 000</w:t>
            </w:r>
            <w:r>
              <w:rPr>
                <w:rFonts w:hint="eastAsia" w:asciiTheme="majorEastAsia" w:hAnsiTheme="majorEastAsia" w:eastAsiaTheme="majorEastAsia"/>
              </w:rPr>
              <w:t xml:space="preserve"> Hz</w:t>
            </w:r>
          </w:p>
        </w:tc>
        <w:tc>
          <w:tcPr>
            <w:tcW w:w="1215" w:type="pct"/>
            <w:tcBorders>
              <w:tl2br w:val="nil"/>
              <w:tr2bl w:val="nil"/>
            </w:tcBorders>
            <w:shd w:val="clear" w:color="auto" w:fill="auto"/>
            <w:vAlign w:val="center"/>
          </w:tcPr>
          <w:p w14:paraId="06657376">
            <w:pPr>
              <w:rPr>
                <w:rFonts w:asciiTheme="majorEastAsia" w:hAnsiTheme="majorEastAsia" w:eastAsiaTheme="majorEastAsia"/>
              </w:rPr>
            </w:pPr>
            <w:r>
              <w:rPr>
                <w:rFonts w:hint="eastAsia" w:asciiTheme="majorEastAsia" w:hAnsiTheme="majorEastAsia" w:eastAsiaTheme="majorEastAsia"/>
              </w:rPr>
              <w:t>频率：±0.1 Hz</w:t>
            </w:r>
          </w:p>
          <w:p w14:paraId="7D0B2837">
            <w:pPr>
              <w:pStyle w:val="63"/>
              <w:numPr>
                <w:ilvl w:val="255"/>
                <w:numId w:val="0"/>
              </w:numPr>
            </w:pPr>
            <w:r>
              <w:rPr>
                <w:rFonts w:hint="eastAsia" w:asciiTheme="majorEastAsia" w:hAnsiTheme="majorEastAsia" w:eastAsiaTheme="majorEastAsia"/>
              </w:rPr>
              <w:t>加速度幅值：±8%</w:t>
            </w:r>
          </w:p>
        </w:tc>
        <w:tc>
          <w:tcPr>
            <w:tcW w:w="374" w:type="pct"/>
            <w:tcBorders>
              <w:right w:val="single" w:color="auto" w:sz="8" w:space="0"/>
              <w:tl2br w:val="nil"/>
              <w:tr2bl w:val="nil"/>
            </w:tcBorders>
            <w:shd w:val="clear" w:color="auto" w:fill="auto"/>
            <w:vAlign w:val="center"/>
          </w:tcPr>
          <w:p w14:paraId="3012C895">
            <w:pPr>
              <w:rPr>
                <w:rFonts w:cstheme="minorEastAsia"/>
              </w:rPr>
            </w:pPr>
            <w:r>
              <w:rPr>
                <w:rFonts w:hint="eastAsia" w:cstheme="minorEastAsia"/>
              </w:rPr>
              <w:t>—</w:t>
            </w:r>
          </w:p>
        </w:tc>
      </w:tr>
      <w:tr w14:paraId="6FF01C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9" w:type="pct"/>
            <w:tcBorders>
              <w:top w:val="single" w:color="auto" w:sz="4" w:space="0"/>
              <w:left w:val="single" w:color="auto" w:sz="8" w:space="0"/>
              <w:bottom w:val="single" w:color="auto" w:sz="4" w:space="0"/>
              <w:tl2br w:val="nil"/>
              <w:tr2bl w:val="nil"/>
            </w:tcBorders>
            <w:vAlign w:val="center"/>
          </w:tcPr>
          <w:p w14:paraId="71F2BCEA">
            <w:pPr>
              <w:rPr>
                <w:rFonts w:cstheme="minorEastAsia"/>
              </w:rPr>
            </w:pPr>
            <w:r>
              <w:rPr>
                <w:rFonts w:hint="eastAsia" w:cstheme="minorEastAsia"/>
              </w:rPr>
              <w:t>1</w:t>
            </w:r>
            <w:r>
              <w:rPr>
                <w:rFonts w:cstheme="minorEastAsia"/>
              </w:rPr>
              <w:t>2</w:t>
            </w:r>
          </w:p>
        </w:tc>
        <w:tc>
          <w:tcPr>
            <w:tcW w:w="1560" w:type="pct"/>
            <w:tcBorders>
              <w:tl2br w:val="nil"/>
              <w:tr2bl w:val="nil"/>
            </w:tcBorders>
            <w:shd w:val="clear" w:color="auto" w:fill="auto"/>
            <w:vAlign w:val="center"/>
          </w:tcPr>
          <w:p w14:paraId="08465A11">
            <w:pPr>
              <w:pStyle w:val="63"/>
              <w:numPr>
                <w:ilvl w:val="255"/>
                <w:numId w:val="0"/>
              </w:numPr>
            </w:pPr>
            <w:r>
              <w:rPr>
                <w:rFonts w:hint="eastAsia" w:cstheme="minorEastAsia"/>
              </w:rPr>
              <w:t>低气压试验箱</w:t>
            </w:r>
          </w:p>
        </w:tc>
        <w:tc>
          <w:tcPr>
            <w:tcW w:w="1442" w:type="pct"/>
            <w:tcBorders>
              <w:tl2br w:val="nil"/>
              <w:tr2bl w:val="nil"/>
            </w:tcBorders>
            <w:shd w:val="clear" w:color="auto" w:fill="auto"/>
            <w:vAlign w:val="center"/>
          </w:tcPr>
          <w:p w14:paraId="0DF9F7CD">
            <w:pPr>
              <w:pStyle w:val="63"/>
              <w:numPr>
                <w:ilvl w:val="255"/>
                <w:numId w:val="0"/>
              </w:numPr>
              <w:rPr>
                <w:rFonts w:cstheme="minorEastAsia"/>
              </w:rPr>
            </w:pPr>
            <w:r>
              <w:rPr>
                <w:rFonts w:hint="eastAsia" w:asciiTheme="majorEastAsia" w:hAnsiTheme="majorEastAsia" w:eastAsiaTheme="majorEastAsia"/>
              </w:rPr>
              <w:t>气压范围：从常压到30 kPa</w:t>
            </w:r>
          </w:p>
        </w:tc>
        <w:tc>
          <w:tcPr>
            <w:tcW w:w="1215" w:type="pct"/>
            <w:tcBorders>
              <w:tl2br w:val="nil"/>
              <w:tr2bl w:val="nil"/>
            </w:tcBorders>
            <w:shd w:val="clear" w:color="auto" w:fill="auto"/>
            <w:vAlign w:val="center"/>
          </w:tcPr>
          <w:p w14:paraId="49A41ABC">
            <w:pPr>
              <w:pStyle w:val="63"/>
              <w:numPr>
                <w:ilvl w:val="255"/>
                <w:numId w:val="0"/>
              </w:numPr>
            </w:pPr>
            <w:r>
              <w:rPr>
                <w:rFonts w:hint="eastAsia" w:asciiTheme="majorEastAsia" w:hAnsiTheme="majorEastAsia" w:eastAsiaTheme="majorEastAsia"/>
              </w:rPr>
              <w:t>±2 kPa</w:t>
            </w:r>
          </w:p>
        </w:tc>
        <w:tc>
          <w:tcPr>
            <w:tcW w:w="374" w:type="pct"/>
            <w:tcBorders>
              <w:right w:val="single" w:color="auto" w:sz="8" w:space="0"/>
              <w:tl2br w:val="nil"/>
              <w:tr2bl w:val="nil"/>
            </w:tcBorders>
            <w:shd w:val="clear" w:color="auto" w:fill="auto"/>
            <w:vAlign w:val="center"/>
          </w:tcPr>
          <w:p w14:paraId="37A27F08">
            <w:pPr>
              <w:rPr>
                <w:rFonts w:cstheme="minorEastAsia"/>
              </w:rPr>
            </w:pPr>
            <w:r>
              <w:rPr>
                <w:rFonts w:hint="eastAsia" w:cstheme="minorEastAsia"/>
              </w:rPr>
              <w:t>—</w:t>
            </w:r>
          </w:p>
        </w:tc>
      </w:tr>
    </w:tbl>
    <w:p w14:paraId="735D5A33">
      <w:pPr>
        <w:pStyle w:val="54"/>
        <w:ind w:left="0"/>
        <w:jc w:val="both"/>
        <w:rPr>
          <w:rFonts w:ascii="黑体" w:hAnsi="黑体" w:eastAsia="黑体"/>
        </w:rPr>
      </w:pPr>
      <w:r>
        <w:rPr>
          <w:rFonts w:hint="eastAsia" w:ascii="黑体" w:hAnsi="黑体" w:eastAsia="黑体"/>
        </w:rPr>
        <w:t>使用现场的检测仪器仪表及设备</w:t>
      </w:r>
    </w:p>
    <w:p w14:paraId="5F5A38E8">
      <w:pPr>
        <w:pStyle w:val="31"/>
        <w:jc w:val="both"/>
        <w:rPr>
          <w:rFonts w:ascii="宋体" w:hAnsi="宋体"/>
        </w:rPr>
      </w:pPr>
      <w:r>
        <w:rPr>
          <w:rFonts w:ascii="宋体" w:hAnsi="宋体"/>
        </w:rPr>
        <w:t>使用现场的检测仪器仪表及设备前，应检查其是否处于正常的工作状态，是否具有计量检定/校准证书，满足规定要求方可使用。</w:t>
      </w:r>
    </w:p>
    <w:p w14:paraId="23460927">
      <w:pPr>
        <w:pStyle w:val="53"/>
        <w:jc w:val="both"/>
      </w:pPr>
      <w:bookmarkStart w:id="157" w:name="_Toc27742"/>
      <w:r>
        <w:rPr>
          <w:rFonts w:hint="eastAsia"/>
        </w:rPr>
        <w:t>检验内容及检验方法</w:t>
      </w:r>
      <w:bookmarkEnd w:id="157"/>
    </w:p>
    <w:p w14:paraId="1051E192">
      <w:pPr>
        <w:pStyle w:val="54"/>
        <w:spacing w:beforeLines="50" w:afterLines="50"/>
        <w:ind w:left="0"/>
        <w:rPr>
          <w:rFonts w:ascii="黑体" w:hAnsi="黑体" w:eastAsia="黑体"/>
        </w:rPr>
      </w:pPr>
      <w:bookmarkStart w:id="158" w:name="_Hlk186125025"/>
      <w:bookmarkStart w:id="159" w:name="_Hlk184645102"/>
      <w:bookmarkStart w:id="160" w:name="_Hlk184642703"/>
      <w:r>
        <w:rPr>
          <w:rFonts w:hint="eastAsia" w:ascii="宋体" w:hAnsi="宋体" w:eastAsia="宋体"/>
        </w:rPr>
        <w:t>行政许可、产品认证（初次</w:t>
      </w:r>
      <w:r>
        <w:rPr>
          <w:rFonts w:ascii="宋体" w:hAnsi="宋体" w:eastAsia="宋体"/>
        </w:rPr>
        <w:t>/复评）检测等需要验证产品与标准的符合性时</w:t>
      </w:r>
      <w:bookmarkEnd w:id="158"/>
      <w:r>
        <w:rPr>
          <w:rFonts w:ascii="宋体" w:hAnsi="宋体" w:eastAsia="宋体"/>
        </w:rPr>
        <w:t>，按型式检验项目检验。监督抽查可在重要性能项目中选取检验项目或按照特定的监督抽查要求选取检验项目。产品认证的日常监督检测按监督检测项目进行</w:t>
      </w:r>
      <w:bookmarkEnd w:id="159"/>
      <w:r>
        <w:rPr>
          <w:rFonts w:hint="eastAsia" w:ascii="宋体" w:hAnsi="宋体" w:eastAsia="宋体"/>
        </w:rPr>
        <w:t>。</w:t>
      </w:r>
      <w:bookmarkEnd w:id="160"/>
      <w:r>
        <w:rPr>
          <w:rFonts w:hint="eastAsia" w:ascii="宋体" w:hAnsi="宋体" w:eastAsia="宋体"/>
        </w:rPr>
        <w:t>检验内容、检验方法、执行标准条款应符合表</w:t>
      </w:r>
      <w:r>
        <w:rPr>
          <w:rFonts w:ascii="宋体" w:hAnsi="宋体" w:eastAsia="宋体"/>
        </w:rPr>
        <w:t>6</w:t>
      </w:r>
      <w:r>
        <w:rPr>
          <w:rFonts w:hint="eastAsia" w:ascii="宋体" w:hAnsi="宋体" w:eastAsia="宋体"/>
        </w:rPr>
        <w:t>的要求</w:t>
      </w:r>
      <w:r>
        <w:rPr>
          <w:rFonts w:ascii="宋体" w:hAnsi="宋体" w:eastAsia="宋体"/>
        </w:rPr>
        <w:t>。</w:t>
      </w:r>
    </w:p>
    <w:p w14:paraId="1365A492">
      <w:pPr>
        <w:pStyle w:val="54"/>
        <w:numPr>
          <w:ilvl w:val="0"/>
          <w:numId w:val="0"/>
        </w:numPr>
        <w:spacing w:beforeLines="50" w:afterLines="50"/>
        <w:jc w:val="center"/>
        <w:rPr>
          <w:rFonts w:ascii="黑体" w:hAnsi="黑体" w:eastAsia="黑体"/>
        </w:rPr>
      </w:pPr>
      <w:r>
        <w:rPr>
          <w:rFonts w:hint="eastAsia" w:ascii="黑体" w:hAnsi="黑体" w:eastAsia="黑体" w:cs="黑体"/>
        </w:rPr>
        <w:t>表</w:t>
      </w:r>
      <w:r>
        <w:rPr>
          <w:rFonts w:ascii="黑体" w:hAnsi="黑体" w:eastAsia="黑体" w:cs="黑体"/>
        </w:rPr>
        <w:t>6  检验内容、要求及方法</w:t>
      </w:r>
    </w:p>
    <w:tbl>
      <w:tblPr>
        <w:tblStyle w:val="11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213"/>
        <w:gridCol w:w="1889"/>
        <w:gridCol w:w="1889"/>
        <w:gridCol w:w="726"/>
        <w:gridCol w:w="724"/>
        <w:gridCol w:w="728"/>
        <w:gridCol w:w="718"/>
      </w:tblGrid>
      <w:tr w14:paraId="2B7816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7" w:type="pct"/>
            <w:tcBorders>
              <w:top w:val="single" w:color="auto" w:sz="8" w:space="0"/>
              <w:bottom w:val="single" w:color="auto" w:sz="8" w:space="0"/>
            </w:tcBorders>
            <w:vAlign w:val="center"/>
          </w:tcPr>
          <w:p w14:paraId="3D67328E">
            <w:pPr>
              <w:numPr>
                <w:ilvl w:val="255"/>
                <w:numId w:val="0"/>
              </w:numPr>
              <w:autoSpaceDE w:val="0"/>
              <w:autoSpaceDN w:val="0"/>
              <w:snapToGrid w:val="0"/>
              <w:rPr>
                <w:rFonts w:cs="宋体"/>
              </w:rPr>
            </w:pPr>
            <w:r>
              <w:rPr>
                <w:rFonts w:hint="eastAsia" w:cs="宋体"/>
              </w:rPr>
              <w:t>序号</w:t>
            </w:r>
          </w:p>
        </w:tc>
        <w:tc>
          <w:tcPr>
            <w:tcW w:w="1155" w:type="pct"/>
            <w:tcBorders>
              <w:top w:val="single" w:color="auto" w:sz="8" w:space="0"/>
              <w:bottom w:val="single" w:color="auto" w:sz="8" w:space="0"/>
            </w:tcBorders>
            <w:vAlign w:val="center"/>
          </w:tcPr>
          <w:p w14:paraId="3B0B504C">
            <w:pPr>
              <w:numPr>
                <w:ilvl w:val="255"/>
                <w:numId w:val="0"/>
              </w:numPr>
              <w:autoSpaceDE w:val="0"/>
              <w:autoSpaceDN w:val="0"/>
              <w:snapToGrid w:val="0"/>
              <w:rPr>
                <w:rFonts w:cs="宋体"/>
              </w:rPr>
            </w:pPr>
            <w:r>
              <w:rPr>
                <w:rFonts w:hint="eastAsia" w:cs="宋体"/>
              </w:rPr>
              <w:t>检验项目</w:t>
            </w:r>
          </w:p>
        </w:tc>
        <w:tc>
          <w:tcPr>
            <w:tcW w:w="986" w:type="pct"/>
            <w:tcBorders>
              <w:top w:val="single" w:color="auto" w:sz="8" w:space="0"/>
              <w:bottom w:val="single" w:color="auto" w:sz="8" w:space="0"/>
            </w:tcBorders>
            <w:vAlign w:val="center"/>
          </w:tcPr>
          <w:p w14:paraId="3C143DDD">
            <w:pPr>
              <w:numPr>
                <w:ilvl w:val="255"/>
                <w:numId w:val="0"/>
              </w:numPr>
              <w:autoSpaceDE w:val="0"/>
              <w:autoSpaceDN w:val="0"/>
              <w:snapToGrid w:val="0"/>
              <w:rPr>
                <w:rFonts w:cs="宋体"/>
              </w:rPr>
            </w:pPr>
            <w:r>
              <w:rPr>
                <w:rFonts w:hint="eastAsia" w:cs="宋体"/>
              </w:rPr>
              <w:t>技术要求</w:t>
            </w:r>
          </w:p>
        </w:tc>
        <w:tc>
          <w:tcPr>
            <w:tcW w:w="986" w:type="pct"/>
            <w:tcBorders>
              <w:top w:val="single" w:color="auto" w:sz="8" w:space="0"/>
              <w:bottom w:val="single" w:color="auto" w:sz="8" w:space="0"/>
            </w:tcBorders>
            <w:vAlign w:val="center"/>
          </w:tcPr>
          <w:p w14:paraId="6F962159">
            <w:pPr>
              <w:numPr>
                <w:ilvl w:val="255"/>
                <w:numId w:val="0"/>
              </w:numPr>
              <w:autoSpaceDE w:val="0"/>
              <w:autoSpaceDN w:val="0"/>
              <w:snapToGrid w:val="0"/>
              <w:rPr>
                <w:rFonts w:cs="宋体"/>
              </w:rPr>
            </w:pPr>
            <w:r>
              <w:rPr>
                <w:rFonts w:hint="eastAsia" w:cs="宋体"/>
              </w:rPr>
              <w:t>检验方法</w:t>
            </w:r>
          </w:p>
        </w:tc>
        <w:tc>
          <w:tcPr>
            <w:tcW w:w="379" w:type="pct"/>
            <w:tcBorders>
              <w:top w:val="single" w:color="auto" w:sz="8" w:space="0"/>
              <w:bottom w:val="single" w:color="auto" w:sz="8" w:space="0"/>
            </w:tcBorders>
            <w:vAlign w:val="center"/>
          </w:tcPr>
          <w:p w14:paraId="6D8A39E8">
            <w:pPr>
              <w:numPr>
                <w:ilvl w:val="255"/>
                <w:numId w:val="0"/>
              </w:numPr>
              <w:autoSpaceDE w:val="0"/>
              <w:autoSpaceDN w:val="0"/>
              <w:snapToGrid w:val="0"/>
              <w:rPr>
                <w:rFonts w:cs="宋体"/>
                <w:bCs/>
              </w:rPr>
            </w:pPr>
            <w:r>
              <w:rPr>
                <w:rFonts w:hint="eastAsia" w:cs="宋体"/>
                <w:bCs/>
              </w:rPr>
              <w:t>型式</w:t>
            </w:r>
          </w:p>
          <w:p w14:paraId="6ADC6CBE">
            <w:pPr>
              <w:numPr>
                <w:ilvl w:val="255"/>
                <w:numId w:val="0"/>
              </w:numPr>
              <w:autoSpaceDE w:val="0"/>
              <w:autoSpaceDN w:val="0"/>
              <w:snapToGrid w:val="0"/>
              <w:rPr>
                <w:rFonts w:cs="宋体"/>
              </w:rPr>
            </w:pPr>
            <w:r>
              <w:rPr>
                <w:rFonts w:hint="eastAsia" w:cs="宋体"/>
                <w:bCs/>
              </w:rPr>
              <w:t>试验</w:t>
            </w:r>
          </w:p>
        </w:tc>
        <w:tc>
          <w:tcPr>
            <w:tcW w:w="378" w:type="pct"/>
            <w:tcBorders>
              <w:top w:val="single" w:color="auto" w:sz="8" w:space="0"/>
              <w:bottom w:val="single" w:color="auto" w:sz="8" w:space="0"/>
            </w:tcBorders>
            <w:vAlign w:val="center"/>
          </w:tcPr>
          <w:p w14:paraId="2544B1C8">
            <w:pPr>
              <w:numPr>
                <w:ilvl w:val="255"/>
                <w:numId w:val="0"/>
              </w:numPr>
              <w:autoSpaceDE w:val="0"/>
              <w:autoSpaceDN w:val="0"/>
              <w:snapToGrid w:val="0"/>
              <w:rPr>
                <w:rFonts w:cs="宋体"/>
              </w:rPr>
            </w:pPr>
            <w:r>
              <w:rPr>
                <w:rFonts w:hint="eastAsia" w:cs="宋体"/>
                <w:bCs/>
              </w:rPr>
              <w:t>重要性能项目</w:t>
            </w:r>
          </w:p>
        </w:tc>
        <w:tc>
          <w:tcPr>
            <w:tcW w:w="380" w:type="pct"/>
            <w:tcBorders>
              <w:top w:val="single" w:color="auto" w:sz="8" w:space="0"/>
              <w:bottom w:val="single" w:color="auto" w:sz="8" w:space="0"/>
            </w:tcBorders>
            <w:vAlign w:val="center"/>
          </w:tcPr>
          <w:p w14:paraId="576509C4">
            <w:pPr>
              <w:numPr>
                <w:ilvl w:val="255"/>
                <w:numId w:val="0"/>
              </w:numPr>
              <w:autoSpaceDE w:val="0"/>
              <w:autoSpaceDN w:val="0"/>
              <w:snapToGrid w:val="0"/>
              <w:rPr>
                <w:rFonts w:cs="宋体"/>
              </w:rPr>
            </w:pPr>
            <w:r>
              <w:rPr>
                <w:rFonts w:hint="eastAsia" w:cs="宋体"/>
                <w:bCs/>
              </w:rPr>
              <w:t>监督检测</w:t>
            </w:r>
          </w:p>
        </w:tc>
        <w:tc>
          <w:tcPr>
            <w:tcW w:w="374" w:type="pct"/>
            <w:tcBorders>
              <w:top w:val="single" w:color="auto" w:sz="8" w:space="0"/>
              <w:bottom w:val="single" w:color="auto" w:sz="8" w:space="0"/>
            </w:tcBorders>
            <w:vAlign w:val="center"/>
          </w:tcPr>
          <w:p w14:paraId="5A348250">
            <w:pPr>
              <w:numPr>
                <w:ilvl w:val="255"/>
                <w:numId w:val="0"/>
              </w:numPr>
              <w:autoSpaceDE w:val="0"/>
              <w:autoSpaceDN w:val="0"/>
              <w:snapToGrid w:val="0"/>
              <w:rPr>
                <w:rFonts w:cs="宋体"/>
              </w:rPr>
            </w:pPr>
            <w:r>
              <w:rPr>
                <w:rFonts w:hint="eastAsia" w:cs="宋体"/>
              </w:rPr>
              <w:t>现场检查</w:t>
            </w:r>
          </w:p>
        </w:tc>
      </w:tr>
      <w:tr w14:paraId="0F256F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7" w:type="pct"/>
            <w:tcBorders>
              <w:top w:val="single" w:color="auto" w:sz="8" w:space="0"/>
            </w:tcBorders>
            <w:vAlign w:val="center"/>
          </w:tcPr>
          <w:p w14:paraId="38FC3647">
            <w:pPr>
              <w:numPr>
                <w:ilvl w:val="255"/>
                <w:numId w:val="0"/>
              </w:numPr>
              <w:autoSpaceDE w:val="0"/>
              <w:autoSpaceDN w:val="0"/>
              <w:snapToGrid w:val="0"/>
              <w:rPr>
                <w:rFonts w:cs="宋体"/>
              </w:rPr>
            </w:pPr>
            <w:r>
              <w:rPr>
                <w:rFonts w:hint="eastAsia" w:cs="宋体"/>
              </w:rPr>
              <w:t>1</w:t>
            </w:r>
          </w:p>
        </w:tc>
        <w:tc>
          <w:tcPr>
            <w:tcW w:w="1155" w:type="pct"/>
            <w:tcBorders>
              <w:top w:val="single" w:color="auto" w:sz="8" w:space="0"/>
            </w:tcBorders>
            <w:vAlign w:val="center"/>
          </w:tcPr>
          <w:p w14:paraId="3EBB2560">
            <w:pPr>
              <w:numPr>
                <w:ilvl w:val="255"/>
                <w:numId w:val="0"/>
              </w:numPr>
              <w:autoSpaceDE w:val="0"/>
              <w:autoSpaceDN w:val="0"/>
              <w:snapToGrid w:val="0"/>
              <w:rPr>
                <w:rFonts w:cs="宋体"/>
              </w:rPr>
            </w:pPr>
            <w:r>
              <w:rPr>
                <w:rFonts w:hint="eastAsia" w:cs="宋体"/>
              </w:rPr>
              <w:t>外观</w:t>
            </w:r>
          </w:p>
        </w:tc>
        <w:tc>
          <w:tcPr>
            <w:tcW w:w="986" w:type="pct"/>
            <w:tcBorders>
              <w:top w:val="single" w:color="auto" w:sz="8" w:space="0"/>
            </w:tcBorders>
            <w:shd w:val="clear" w:color="auto" w:fill="auto"/>
            <w:vAlign w:val="center"/>
          </w:tcPr>
          <w:p w14:paraId="2C9596B6">
            <w:pPr>
              <w:rPr>
                <w:rFonts w:cs="宋体"/>
              </w:rPr>
            </w:pPr>
            <w:r>
              <w:rPr>
                <w:rFonts w:hint="eastAsia" w:cs="宋体"/>
              </w:rPr>
              <w:t>TB/T 3112.4—2017</w:t>
            </w:r>
          </w:p>
          <w:p w14:paraId="01C39EDC">
            <w:pPr>
              <w:numPr>
                <w:ilvl w:val="255"/>
                <w:numId w:val="0"/>
              </w:numPr>
              <w:autoSpaceDE w:val="0"/>
              <w:autoSpaceDN w:val="0"/>
              <w:snapToGrid w:val="0"/>
              <w:rPr>
                <w:rFonts w:cs="宋体"/>
              </w:rPr>
            </w:pPr>
            <w:r>
              <w:rPr>
                <w:rFonts w:hint="eastAsia" w:cs="宋体"/>
              </w:rPr>
              <w:t>第</w:t>
            </w:r>
            <w:r>
              <w:rPr>
                <w:rFonts w:cs="宋体"/>
              </w:rPr>
              <w:t>4.3</w:t>
            </w:r>
            <w:r>
              <w:rPr>
                <w:rFonts w:hint="eastAsia" w:cs="宋体"/>
              </w:rPr>
              <w:t>条</w:t>
            </w:r>
          </w:p>
        </w:tc>
        <w:tc>
          <w:tcPr>
            <w:tcW w:w="986" w:type="pct"/>
            <w:tcBorders>
              <w:top w:val="single" w:color="auto" w:sz="8" w:space="0"/>
            </w:tcBorders>
            <w:shd w:val="clear" w:color="auto" w:fill="auto"/>
            <w:vAlign w:val="center"/>
          </w:tcPr>
          <w:p w14:paraId="48B21020">
            <w:pPr>
              <w:rPr>
                <w:rFonts w:cs="宋体"/>
              </w:rPr>
            </w:pPr>
            <w:r>
              <w:rPr>
                <w:rFonts w:hint="eastAsia" w:cs="宋体"/>
              </w:rPr>
              <w:t>TB/T 3112.4—2017</w:t>
            </w:r>
          </w:p>
          <w:p w14:paraId="722169ED">
            <w:pPr>
              <w:numPr>
                <w:ilvl w:val="255"/>
                <w:numId w:val="0"/>
              </w:numPr>
              <w:autoSpaceDE w:val="0"/>
              <w:autoSpaceDN w:val="0"/>
              <w:snapToGrid w:val="0"/>
              <w:rPr>
                <w:rFonts w:cs="宋体"/>
              </w:rPr>
            </w:pPr>
            <w:r>
              <w:rPr>
                <w:rFonts w:hint="eastAsia" w:cs="宋体"/>
              </w:rPr>
              <w:t>第</w:t>
            </w:r>
            <w:r>
              <w:rPr>
                <w:rFonts w:cs="宋体"/>
              </w:rPr>
              <w:t>5.3</w:t>
            </w:r>
            <w:r>
              <w:rPr>
                <w:rFonts w:hint="eastAsia" w:cs="宋体"/>
              </w:rPr>
              <w:t>条</w:t>
            </w:r>
          </w:p>
        </w:tc>
        <w:tc>
          <w:tcPr>
            <w:tcW w:w="379" w:type="pct"/>
            <w:tcBorders>
              <w:top w:val="single" w:color="auto" w:sz="8" w:space="0"/>
            </w:tcBorders>
            <w:shd w:val="clear" w:color="auto" w:fill="auto"/>
            <w:vAlign w:val="center"/>
          </w:tcPr>
          <w:p w14:paraId="06E992D3">
            <w:pPr>
              <w:numPr>
                <w:ilvl w:val="255"/>
                <w:numId w:val="0"/>
              </w:numPr>
              <w:autoSpaceDE w:val="0"/>
              <w:autoSpaceDN w:val="0"/>
              <w:snapToGrid w:val="0"/>
              <w:rPr>
                <w:rFonts w:cs="宋体"/>
              </w:rPr>
            </w:pPr>
            <w:r>
              <w:rPr>
                <w:rFonts w:hint="eastAsia" w:cs="宋体"/>
              </w:rPr>
              <w:t>√</w:t>
            </w:r>
          </w:p>
        </w:tc>
        <w:tc>
          <w:tcPr>
            <w:tcW w:w="378" w:type="pct"/>
            <w:tcBorders>
              <w:top w:val="single" w:color="auto" w:sz="8" w:space="0"/>
            </w:tcBorders>
            <w:shd w:val="clear" w:color="auto" w:fill="auto"/>
            <w:vAlign w:val="center"/>
          </w:tcPr>
          <w:p w14:paraId="49B26784">
            <w:pPr>
              <w:numPr>
                <w:ilvl w:val="255"/>
                <w:numId w:val="0"/>
              </w:numPr>
              <w:autoSpaceDE w:val="0"/>
              <w:autoSpaceDN w:val="0"/>
              <w:snapToGrid w:val="0"/>
              <w:rPr>
                <w:rFonts w:cs="宋体"/>
              </w:rPr>
            </w:pPr>
            <w:r>
              <w:rPr>
                <w:rFonts w:hint="eastAsia" w:cs="宋体"/>
              </w:rPr>
              <w:t>√</w:t>
            </w:r>
          </w:p>
        </w:tc>
        <w:tc>
          <w:tcPr>
            <w:tcW w:w="380" w:type="pct"/>
            <w:tcBorders>
              <w:top w:val="single" w:color="auto" w:sz="8" w:space="0"/>
            </w:tcBorders>
            <w:shd w:val="clear" w:color="auto" w:fill="auto"/>
            <w:vAlign w:val="center"/>
          </w:tcPr>
          <w:p w14:paraId="5C3A1C00">
            <w:pPr>
              <w:numPr>
                <w:ilvl w:val="255"/>
                <w:numId w:val="0"/>
              </w:numPr>
              <w:autoSpaceDE w:val="0"/>
              <w:autoSpaceDN w:val="0"/>
              <w:snapToGrid w:val="0"/>
              <w:rPr>
                <w:rFonts w:cs="宋体"/>
              </w:rPr>
            </w:pPr>
            <w:r>
              <w:rPr>
                <w:rFonts w:hint="eastAsia" w:cs="宋体"/>
              </w:rPr>
              <w:t>√</w:t>
            </w:r>
          </w:p>
        </w:tc>
        <w:tc>
          <w:tcPr>
            <w:tcW w:w="374" w:type="pct"/>
            <w:tcBorders>
              <w:top w:val="single" w:color="auto" w:sz="8" w:space="0"/>
            </w:tcBorders>
            <w:shd w:val="clear" w:color="auto" w:fill="auto"/>
            <w:vAlign w:val="center"/>
          </w:tcPr>
          <w:p w14:paraId="3C511F2A">
            <w:pPr>
              <w:numPr>
                <w:ilvl w:val="255"/>
                <w:numId w:val="0"/>
              </w:numPr>
              <w:autoSpaceDE w:val="0"/>
              <w:autoSpaceDN w:val="0"/>
              <w:snapToGrid w:val="0"/>
              <w:rPr>
                <w:rFonts w:cs="宋体"/>
              </w:rPr>
            </w:pPr>
            <w:r>
              <w:rPr>
                <w:rFonts w:hint="eastAsia" w:cs="宋体"/>
              </w:rPr>
              <w:t>—</w:t>
            </w:r>
          </w:p>
        </w:tc>
      </w:tr>
      <w:tr w14:paraId="004A0D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7" w:type="pct"/>
            <w:vAlign w:val="center"/>
          </w:tcPr>
          <w:p w14:paraId="2A22ACBA">
            <w:pPr>
              <w:numPr>
                <w:ilvl w:val="255"/>
                <w:numId w:val="0"/>
              </w:numPr>
              <w:autoSpaceDE w:val="0"/>
              <w:autoSpaceDN w:val="0"/>
              <w:snapToGrid w:val="0"/>
              <w:rPr>
                <w:rFonts w:cs="宋体"/>
              </w:rPr>
            </w:pPr>
            <w:r>
              <w:rPr>
                <w:rFonts w:hint="eastAsia" w:cs="宋体"/>
              </w:rPr>
              <w:t>2</w:t>
            </w:r>
          </w:p>
        </w:tc>
        <w:tc>
          <w:tcPr>
            <w:tcW w:w="1155" w:type="pct"/>
            <w:vAlign w:val="center"/>
          </w:tcPr>
          <w:p w14:paraId="0F493556">
            <w:pPr>
              <w:numPr>
                <w:ilvl w:val="255"/>
                <w:numId w:val="0"/>
              </w:numPr>
              <w:autoSpaceDE w:val="0"/>
              <w:autoSpaceDN w:val="0"/>
              <w:snapToGrid w:val="0"/>
              <w:rPr>
                <w:rFonts w:cs="宋体"/>
              </w:rPr>
            </w:pPr>
            <w:r>
              <w:rPr>
                <w:rFonts w:hint="eastAsia" w:cs="Arial"/>
              </w:rPr>
              <w:t>技术性能</w:t>
            </w:r>
          </w:p>
        </w:tc>
        <w:tc>
          <w:tcPr>
            <w:tcW w:w="986" w:type="pct"/>
            <w:shd w:val="clear" w:color="auto" w:fill="auto"/>
            <w:vAlign w:val="center"/>
          </w:tcPr>
          <w:p w14:paraId="068FEEF3">
            <w:pPr>
              <w:rPr>
                <w:rFonts w:cs="宋体"/>
              </w:rPr>
            </w:pPr>
            <w:r>
              <w:rPr>
                <w:rFonts w:hint="eastAsia" w:cs="宋体"/>
              </w:rPr>
              <w:t>TB/T 3112.4—2017第</w:t>
            </w:r>
            <w:r>
              <w:rPr>
                <w:rFonts w:cs="宋体"/>
              </w:rPr>
              <w:t>4.4</w:t>
            </w:r>
            <w:r>
              <w:rPr>
                <w:rFonts w:hint="eastAsia" w:cs="宋体"/>
              </w:rPr>
              <w:t>条、第</w:t>
            </w:r>
            <w:r>
              <w:rPr>
                <w:rFonts w:cs="宋体"/>
              </w:rPr>
              <w:t>4.5</w:t>
            </w:r>
            <w:r>
              <w:rPr>
                <w:rFonts w:hint="eastAsia" w:cs="宋体"/>
              </w:rPr>
              <w:t>条</w:t>
            </w:r>
          </w:p>
        </w:tc>
        <w:tc>
          <w:tcPr>
            <w:tcW w:w="986" w:type="pct"/>
            <w:shd w:val="clear" w:color="auto" w:fill="auto"/>
            <w:vAlign w:val="center"/>
          </w:tcPr>
          <w:p w14:paraId="5ACE976C">
            <w:pPr>
              <w:rPr>
                <w:rFonts w:cs="宋体"/>
              </w:rPr>
            </w:pPr>
            <w:r>
              <w:rPr>
                <w:rFonts w:hint="eastAsia" w:cs="宋体"/>
              </w:rPr>
              <w:t>TB/T 3112.4—2017</w:t>
            </w:r>
          </w:p>
          <w:p w14:paraId="4293FE73">
            <w:pPr>
              <w:rPr>
                <w:rFonts w:cs="宋体"/>
              </w:rPr>
            </w:pPr>
            <w:r>
              <w:rPr>
                <w:rFonts w:hint="eastAsia" w:cs="宋体"/>
              </w:rPr>
              <w:t>第</w:t>
            </w:r>
            <w:r>
              <w:rPr>
                <w:rFonts w:cs="宋体"/>
              </w:rPr>
              <w:t>5.4</w:t>
            </w:r>
            <w:r>
              <w:rPr>
                <w:rFonts w:hint="eastAsia" w:cs="宋体"/>
              </w:rPr>
              <w:t>条、第</w:t>
            </w:r>
            <w:r>
              <w:rPr>
                <w:rFonts w:cs="宋体"/>
              </w:rPr>
              <w:t>5.5</w:t>
            </w:r>
            <w:r>
              <w:rPr>
                <w:rFonts w:hint="eastAsia" w:cs="宋体"/>
              </w:rPr>
              <w:t>条</w:t>
            </w:r>
          </w:p>
        </w:tc>
        <w:tc>
          <w:tcPr>
            <w:tcW w:w="379" w:type="pct"/>
            <w:shd w:val="clear" w:color="auto" w:fill="auto"/>
            <w:vAlign w:val="center"/>
          </w:tcPr>
          <w:p w14:paraId="4295510D">
            <w:pPr>
              <w:numPr>
                <w:ilvl w:val="255"/>
                <w:numId w:val="0"/>
              </w:numPr>
              <w:autoSpaceDE w:val="0"/>
              <w:autoSpaceDN w:val="0"/>
              <w:snapToGrid w:val="0"/>
              <w:rPr>
                <w:rFonts w:cs="宋体"/>
              </w:rPr>
            </w:pPr>
            <w:r>
              <w:rPr>
                <w:rFonts w:hint="eastAsia" w:cs="宋体"/>
              </w:rPr>
              <w:t>√</w:t>
            </w:r>
          </w:p>
        </w:tc>
        <w:tc>
          <w:tcPr>
            <w:tcW w:w="378" w:type="pct"/>
            <w:shd w:val="clear" w:color="auto" w:fill="auto"/>
            <w:vAlign w:val="center"/>
          </w:tcPr>
          <w:p w14:paraId="7553404D">
            <w:pPr>
              <w:numPr>
                <w:ilvl w:val="255"/>
                <w:numId w:val="0"/>
              </w:numPr>
              <w:autoSpaceDE w:val="0"/>
              <w:autoSpaceDN w:val="0"/>
              <w:snapToGrid w:val="0"/>
              <w:rPr>
                <w:rFonts w:cs="宋体"/>
              </w:rPr>
            </w:pPr>
            <w:r>
              <w:rPr>
                <w:rFonts w:hint="eastAsia" w:cs="宋体"/>
              </w:rPr>
              <w:t>√</w:t>
            </w:r>
          </w:p>
        </w:tc>
        <w:tc>
          <w:tcPr>
            <w:tcW w:w="380" w:type="pct"/>
            <w:shd w:val="clear" w:color="auto" w:fill="auto"/>
            <w:vAlign w:val="center"/>
          </w:tcPr>
          <w:p w14:paraId="15D6CF59">
            <w:pPr>
              <w:numPr>
                <w:ilvl w:val="255"/>
                <w:numId w:val="0"/>
              </w:numPr>
              <w:autoSpaceDE w:val="0"/>
              <w:autoSpaceDN w:val="0"/>
              <w:snapToGrid w:val="0"/>
              <w:rPr>
                <w:rFonts w:cs="宋体"/>
              </w:rPr>
            </w:pPr>
            <w:r>
              <w:rPr>
                <w:rFonts w:hint="eastAsia" w:cs="宋体"/>
              </w:rPr>
              <w:t>√</w:t>
            </w:r>
          </w:p>
        </w:tc>
        <w:tc>
          <w:tcPr>
            <w:tcW w:w="374" w:type="pct"/>
            <w:shd w:val="clear" w:color="auto" w:fill="auto"/>
            <w:vAlign w:val="center"/>
          </w:tcPr>
          <w:p w14:paraId="6CDD4918">
            <w:pPr>
              <w:numPr>
                <w:ilvl w:val="255"/>
                <w:numId w:val="0"/>
              </w:numPr>
              <w:autoSpaceDE w:val="0"/>
              <w:autoSpaceDN w:val="0"/>
              <w:snapToGrid w:val="0"/>
              <w:rPr>
                <w:rFonts w:cs="宋体"/>
              </w:rPr>
            </w:pPr>
            <w:r>
              <w:rPr>
                <w:rFonts w:hint="eastAsia" w:cs="宋体"/>
              </w:rPr>
              <w:t>—</w:t>
            </w:r>
          </w:p>
        </w:tc>
      </w:tr>
      <w:tr w14:paraId="634C0A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7" w:type="pct"/>
            <w:vAlign w:val="center"/>
          </w:tcPr>
          <w:p w14:paraId="33FAF49F">
            <w:pPr>
              <w:numPr>
                <w:ilvl w:val="255"/>
                <w:numId w:val="0"/>
              </w:numPr>
              <w:autoSpaceDE w:val="0"/>
              <w:autoSpaceDN w:val="0"/>
              <w:snapToGrid w:val="0"/>
              <w:rPr>
                <w:rFonts w:cs="宋体"/>
              </w:rPr>
            </w:pPr>
            <w:r>
              <w:rPr>
                <w:rFonts w:hint="eastAsia" w:cs="宋体"/>
              </w:rPr>
              <w:t>3</w:t>
            </w:r>
          </w:p>
        </w:tc>
        <w:tc>
          <w:tcPr>
            <w:tcW w:w="1155" w:type="pct"/>
            <w:vAlign w:val="center"/>
          </w:tcPr>
          <w:p w14:paraId="3D8744A4">
            <w:pPr>
              <w:numPr>
                <w:ilvl w:val="255"/>
                <w:numId w:val="0"/>
              </w:numPr>
              <w:autoSpaceDE w:val="0"/>
              <w:autoSpaceDN w:val="0"/>
              <w:snapToGrid w:val="0"/>
              <w:rPr>
                <w:rFonts w:cs="宋体"/>
              </w:rPr>
            </w:pPr>
            <w:r>
              <w:rPr>
                <w:rFonts w:hint="eastAsia" w:cs="宋体"/>
                <w:lang w:bidi="ar"/>
              </w:rPr>
              <w:t>绝缘电阻</w:t>
            </w:r>
          </w:p>
        </w:tc>
        <w:tc>
          <w:tcPr>
            <w:tcW w:w="986" w:type="pct"/>
            <w:shd w:val="clear" w:color="auto" w:fill="auto"/>
            <w:vAlign w:val="center"/>
          </w:tcPr>
          <w:p w14:paraId="09611761">
            <w:pPr>
              <w:rPr>
                <w:rFonts w:cs="宋体"/>
              </w:rPr>
            </w:pPr>
            <w:r>
              <w:rPr>
                <w:rFonts w:hint="eastAsia" w:cs="宋体"/>
              </w:rPr>
              <w:t>TB/T 3112.4—2017</w:t>
            </w:r>
          </w:p>
          <w:p w14:paraId="6CCAA8DF">
            <w:pPr>
              <w:rPr>
                <w:rFonts w:cs="宋体"/>
              </w:rPr>
            </w:pPr>
            <w:r>
              <w:rPr>
                <w:rFonts w:hint="eastAsia" w:cs="宋体"/>
              </w:rPr>
              <w:t>第</w:t>
            </w:r>
            <w:r>
              <w:rPr>
                <w:rFonts w:cs="宋体"/>
              </w:rPr>
              <w:t>4.6</w:t>
            </w:r>
            <w:r>
              <w:rPr>
                <w:rFonts w:hint="eastAsia" w:cs="宋体"/>
              </w:rPr>
              <w:t>条</w:t>
            </w:r>
          </w:p>
        </w:tc>
        <w:tc>
          <w:tcPr>
            <w:tcW w:w="986" w:type="pct"/>
            <w:shd w:val="clear" w:color="auto" w:fill="auto"/>
            <w:vAlign w:val="center"/>
          </w:tcPr>
          <w:p w14:paraId="35BD5B8A">
            <w:pPr>
              <w:rPr>
                <w:rFonts w:cs="宋体"/>
              </w:rPr>
            </w:pPr>
            <w:r>
              <w:rPr>
                <w:rFonts w:hint="eastAsia" w:cs="宋体"/>
              </w:rPr>
              <w:t>TB/T 3112.4—2017</w:t>
            </w:r>
          </w:p>
          <w:p w14:paraId="3C6D7F98">
            <w:pPr>
              <w:numPr>
                <w:ilvl w:val="255"/>
                <w:numId w:val="0"/>
              </w:numPr>
              <w:autoSpaceDE w:val="0"/>
              <w:autoSpaceDN w:val="0"/>
              <w:snapToGrid w:val="0"/>
              <w:rPr>
                <w:rFonts w:cs="宋体"/>
              </w:rPr>
            </w:pPr>
            <w:r>
              <w:rPr>
                <w:rFonts w:hint="eastAsia" w:cs="宋体"/>
              </w:rPr>
              <w:t>第</w:t>
            </w:r>
            <w:r>
              <w:rPr>
                <w:rFonts w:cs="宋体"/>
              </w:rPr>
              <w:t>5.6</w:t>
            </w:r>
            <w:r>
              <w:rPr>
                <w:rFonts w:hint="eastAsia" w:cs="宋体"/>
              </w:rPr>
              <w:t>条</w:t>
            </w:r>
          </w:p>
        </w:tc>
        <w:tc>
          <w:tcPr>
            <w:tcW w:w="379" w:type="pct"/>
            <w:shd w:val="clear" w:color="auto" w:fill="auto"/>
            <w:vAlign w:val="center"/>
          </w:tcPr>
          <w:p w14:paraId="4FC4C87A">
            <w:pPr>
              <w:numPr>
                <w:ilvl w:val="255"/>
                <w:numId w:val="0"/>
              </w:numPr>
              <w:autoSpaceDE w:val="0"/>
              <w:autoSpaceDN w:val="0"/>
              <w:snapToGrid w:val="0"/>
              <w:rPr>
                <w:rFonts w:cs="宋体"/>
              </w:rPr>
            </w:pPr>
            <w:r>
              <w:rPr>
                <w:rFonts w:hint="eastAsia" w:cs="宋体"/>
              </w:rPr>
              <w:t>√</w:t>
            </w:r>
          </w:p>
        </w:tc>
        <w:tc>
          <w:tcPr>
            <w:tcW w:w="378" w:type="pct"/>
            <w:shd w:val="clear" w:color="auto" w:fill="auto"/>
            <w:vAlign w:val="center"/>
          </w:tcPr>
          <w:p w14:paraId="4B4BDD7E">
            <w:pPr>
              <w:numPr>
                <w:ilvl w:val="255"/>
                <w:numId w:val="0"/>
              </w:numPr>
              <w:autoSpaceDE w:val="0"/>
              <w:autoSpaceDN w:val="0"/>
              <w:snapToGrid w:val="0"/>
              <w:rPr>
                <w:rFonts w:cs="宋体"/>
              </w:rPr>
            </w:pPr>
            <w:r>
              <w:rPr>
                <w:rFonts w:hint="eastAsia" w:cs="宋体"/>
              </w:rPr>
              <w:t>√</w:t>
            </w:r>
          </w:p>
        </w:tc>
        <w:tc>
          <w:tcPr>
            <w:tcW w:w="380" w:type="pct"/>
            <w:shd w:val="clear" w:color="auto" w:fill="auto"/>
            <w:vAlign w:val="center"/>
          </w:tcPr>
          <w:p w14:paraId="387CF733">
            <w:pPr>
              <w:numPr>
                <w:ilvl w:val="255"/>
                <w:numId w:val="0"/>
              </w:numPr>
              <w:autoSpaceDE w:val="0"/>
              <w:autoSpaceDN w:val="0"/>
              <w:snapToGrid w:val="0"/>
              <w:rPr>
                <w:rFonts w:cs="宋体"/>
              </w:rPr>
            </w:pPr>
            <w:r>
              <w:rPr>
                <w:rFonts w:hint="eastAsia" w:cs="宋体"/>
              </w:rPr>
              <w:t>√</w:t>
            </w:r>
          </w:p>
        </w:tc>
        <w:tc>
          <w:tcPr>
            <w:tcW w:w="374" w:type="pct"/>
            <w:shd w:val="clear" w:color="auto" w:fill="auto"/>
            <w:vAlign w:val="center"/>
          </w:tcPr>
          <w:p w14:paraId="2D2443DC">
            <w:pPr>
              <w:numPr>
                <w:ilvl w:val="255"/>
                <w:numId w:val="0"/>
              </w:numPr>
              <w:autoSpaceDE w:val="0"/>
              <w:autoSpaceDN w:val="0"/>
              <w:snapToGrid w:val="0"/>
              <w:rPr>
                <w:rFonts w:cs="宋体"/>
              </w:rPr>
            </w:pPr>
            <w:r>
              <w:rPr>
                <w:rFonts w:hint="eastAsia" w:cs="宋体"/>
              </w:rPr>
              <w:t>—</w:t>
            </w:r>
          </w:p>
        </w:tc>
      </w:tr>
      <w:tr w14:paraId="5C713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57" w:type="pct"/>
            <w:tcBorders>
              <w:left w:val="single" w:color="auto" w:sz="8" w:space="0"/>
              <w:bottom w:val="single" w:color="auto" w:sz="4" w:space="0"/>
            </w:tcBorders>
            <w:vAlign w:val="center"/>
          </w:tcPr>
          <w:p w14:paraId="3D974633">
            <w:pPr>
              <w:numPr>
                <w:ilvl w:val="255"/>
                <w:numId w:val="0"/>
              </w:numPr>
              <w:autoSpaceDE w:val="0"/>
              <w:autoSpaceDN w:val="0"/>
              <w:snapToGrid w:val="0"/>
              <w:rPr>
                <w:rFonts w:cs="宋体"/>
              </w:rPr>
            </w:pPr>
            <w:r>
              <w:rPr>
                <w:rFonts w:hint="eastAsia" w:cs="宋体"/>
              </w:rPr>
              <w:t>4</w:t>
            </w:r>
          </w:p>
        </w:tc>
        <w:tc>
          <w:tcPr>
            <w:tcW w:w="1155" w:type="pct"/>
            <w:tcBorders>
              <w:bottom w:val="single" w:color="auto" w:sz="4" w:space="0"/>
            </w:tcBorders>
            <w:vAlign w:val="center"/>
          </w:tcPr>
          <w:p w14:paraId="6F6CF98D">
            <w:pPr>
              <w:numPr>
                <w:ilvl w:val="255"/>
                <w:numId w:val="0"/>
              </w:numPr>
              <w:autoSpaceDE w:val="0"/>
              <w:autoSpaceDN w:val="0"/>
              <w:snapToGrid w:val="0"/>
              <w:rPr>
                <w:rFonts w:cs="宋体"/>
              </w:rPr>
            </w:pPr>
            <w:r>
              <w:rPr>
                <w:rFonts w:hint="eastAsia" w:cs="宋体"/>
                <w:lang w:bidi="ar"/>
              </w:rPr>
              <w:t>绝缘耐压</w:t>
            </w:r>
          </w:p>
        </w:tc>
        <w:tc>
          <w:tcPr>
            <w:tcW w:w="986" w:type="pct"/>
            <w:tcBorders>
              <w:bottom w:val="single" w:color="auto" w:sz="4" w:space="0"/>
            </w:tcBorders>
            <w:vAlign w:val="center"/>
          </w:tcPr>
          <w:p w14:paraId="42AE8D0F">
            <w:pPr>
              <w:rPr>
                <w:rFonts w:cs="宋体"/>
              </w:rPr>
            </w:pPr>
            <w:r>
              <w:rPr>
                <w:rFonts w:hint="eastAsia" w:cs="宋体"/>
              </w:rPr>
              <w:t>TB/T 3112.4—2017</w:t>
            </w:r>
          </w:p>
          <w:p w14:paraId="3D665596">
            <w:pPr>
              <w:rPr>
                <w:rFonts w:cs="宋体"/>
              </w:rPr>
            </w:pPr>
            <w:r>
              <w:rPr>
                <w:rFonts w:hint="eastAsia" w:cs="宋体"/>
              </w:rPr>
              <w:t>第</w:t>
            </w:r>
            <w:r>
              <w:rPr>
                <w:rFonts w:cs="宋体"/>
              </w:rPr>
              <w:t>4.7</w:t>
            </w:r>
            <w:r>
              <w:rPr>
                <w:rFonts w:hint="eastAsia" w:cs="宋体"/>
              </w:rPr>
              <w:t>条</w:t>
            </w:r>
          </w:p>
        </w:tc>
        <w:tc>
          <w:tcPr>
            <w:tcW w:w="986" w:type="pct"/>
            <w:tcBorders>
              <w:bottom w:val="single" w:color="auto" w:sz="4" w:space="0"/>
            </w:tcBorders>
            <w:vAlign w:val="center"/>
          </w:tcPr>
          <w:p w14:paraId="19EE2CDE">
            <w:pPr>
              <w:rPr>
                <w:rFonts w:cs="宋体"/>
              </w:rPr>
            </w:pPr>
            <w:r>
              <w:rPr>
                <w:rFonts w:hint="eastAsia" w:cs="宋体"/>
              </w:rPr>
              <w:t>TB/T 3112.4—2017</w:t>
            </w:r>
          </w:p>
          <w:p w14:paraId="613BFE2A">
            <w:pPr>
              <w:rPr>
                <w:rFonts w:cs="宋体"/>
              </w:rPr>
            </w:pPr>
            <w:r>
              <w:rPr>
                <w:rFonts w:hint="eastAsia" w:cs="宋体"/>
              </w:rPr>
              <w:t>第</w:t>
            </w:r>
            <w:r>
              <w:rPr>
                <w:rFonts w:cs="宋体"/>
              </w:rPr>
              <w:t>5.7</w:t>
            </w:r>
            <w:r>
              <w:rPr>
                <w:rFonts w:hint="eastAsia" w:cs="宋体"/>
              </w:rPr>
              <w:t>条</w:t>
            </w:r>
          </w:p>
        </w:tc>
        <w:tc>
          <w:tcPr>
            <w:tcW w:w="379" w:type="pct"/>
            <w:tcBorders>
              <w:bottom w:val="single" w:color="auto" w:sz="4" w:space="0"/>
            </w:tcBorders>
            <w:vAlign w:val="center"/>
          </w:tcPr>
          <w:p w14:paraId="55926FF7">
            <w:pPr>
              <w:numPr>
                <w:ilvl w:val="255"/>
                <w:numId w:val="0"/>
              </w:numPr>
              <w:autoSpaceDE w:val="0"/>
              <w:autoSpaceDN w:val="0"/>
              <w:snapToGrid w:val="0"/>
              <w:rPr>
                <w:rFonts w:cs="宋体"/>
              </w:rPr>
            </w:pPr>
            <w:r>
              <w:rPr>
                <w:rFonts w:hint="eastAsia" w:cs="宋体"/>
              </w:rPr>
              <w:t>√</w:t>
            </w:r>
          </w:p>
        </w:tc>
        <w:tc>
          <w:tcPr>
            <w:tcW w:w="378" w:type="pct"/>
            <w:tcBorders>
              <w:bottom w:val="single" w:color="auto" w:sz="4" w:space="0"/>
            </w:tcBorders>
            <w:vAlign w:val="center"/>
          </w:tcPr>
          <w:p w14:paraId="6DDE4758">
            <w:pPr>
              <w:numPr>
                <w:ilvl w:val="255"/>
                <w:numId w:val="0"/>
              </w:numPr>
              <w:autoSpaceDE w:val="0"/>
              <w:autoSpaceDN w:val="0"/>
              <w:snapToGrid w:val="0"/>
              <w:rPr>
                <w:rFonts w:cs="宋体"/>
              </w:rPr>
            </w:pPr>
            <w:r>
              <w:rPr>
                <w:rFonts w:hint="eastAsia" w:cs="宋体"/>
              </w:rPr>
              <w:t>√</w:t>
            </w:r>
          </w:p>
        </w:tc>
        <w:tc>
          <w:tcPr>
            <w:tcW w:w="380" w:type="pct"/>
            <w:tcBorders>
              <w:bottom w:val="single" w:color="auto" w:sz="4" w:space="0"/>
            </w:tcBorders>
            <w:vAlign w:val="center"/>
          </w:tcPr>
          <w:p w14:paraId="0363FB66">
            <w:pPr>
              <w:numPr>
                <w:ilvl w:val="255"/>
                <w:numId w:val="0"/>
              </w:numPr>
              <w:autoSpaceDE w:val="0"/>
              <w:autoSpaceDN w:val="0"/>
              <w:snapToGrid w:val="0"/>
              <w:rPr>
                <w:rFonts w:cs="宋体"/>
              </w:rPr>
            </w:pPr>
            <w:r>
              <w:rPr>
                <w:rFonts w:hint="eastAsia" w:cs="宋体"/>
              </w:rPr>
              <w:t>√</w:t>
            </w:r>
          </w:p>
        </w:tc>
        <w:tc>
          <w:tcPr>
            <w:tcW w:w="374" w:type="pct"/>
            <w:tcBorders>
              <w:bottom w:val="single" w:color="auto" w:sz="4" w:space="0"/>
              <w:right w:val="single" w:color="auto" w:sz="8" w:space="0"/>
            </w:tcBorders>
            <w:vAlign w:val="center"/>
          </w:tcPr>
          <w:p w14:paraId="2DB0386B">
            <w:pPr>
              <w:numPr>
                <w:ilvl w:val="255"/>
                <w:numId w:val="0"/>
              </w:numPr>
              <w:autoSpaceDE w:val="0"/>
              <w:autoSpaceDN w:val="0"/>
              <w:snapToGrid w:val="0"/>
              <w:rPr>
                <w:rFonts w:cs="宋体"/>
              </w:rPr>
            </w:pPr>
            <w:r>
              <w:rPr>
                <w:rFonts w:hint="eastAsia" w:cs="宋体"/>
              </w:rPr>
              <w:t>—</w:t>
            </w:r>
          </w:p>
        </w:tc>
      </w:tr>
      <w:tr w14:paraId="6080B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57" w:type="pct"/>
            <w:tcBorders>
              <w:left w:val="single" w:color="auto" w:sz="8" w:space="0"/>
            </w:tcBorders>
            <w:vAlign w:val="center"/>
          </w:tcPr>
          <w:p w14:paraId="7A3169AF">
            <w:pPr>
              <w:numPr>
                <w:ilvl w:val="255"/>
                <w:numId w:val="0"/>
              </w:numPr>
              <w:autoSpaceDE w:val="0"/>
              <w:autoSpaceDN w:val="0"/>
              <w:snapToGrid w:val="0"/>
              <w:rPr>
                <w:rFonts w:cs="宋体"/>
              </w:rPr>
            </w:pPr>
            <w:r>
              <w:rPr>
                <w:rFonts w:hint="eastAsia" w:cs="宋体"/>
              </w:rPr>
              <w:t>5</w:t>
            </w:r>
          </w:p>
        </w:tc>
        <w:tc>
          <w:tcPr>
            <w:tcW w:w="1155" w:type="pct"/>
            <w:vAlign w:val="center"/>
          </w:tcPr>
          <w:p w14:paraId="54B04B12">
            <w:pPr>
              <w:numPr>
                <w:ilvl w:val="255"/>
                <w:numId w:val="0"/>
              </w:numPr>
              <w:autoSpaceDE w:val="0"/>
              <w:autoSpaceDN w:val="0"/>
              <w:snapToGrid w:val="0"/>
              <w:rPr>
                <w:rFonts w:cs="宋体"/>
              </w:rPr>
            </w:pPr>
            <w:r>
              <w:rPr>
                <w:rFonts w:hint="eastAsia" w:cs="宋体"/>
                <w:lang w:bidi="ar"/>
              </w:rPr>
              <w:t>阻燃</w:t>
            </w:r>
          </w:p>
        </w:tc>
        <w:tc>
          <w:tcPr>
            <w:tcW w:w="986" w:type="pct"/>
            <w:vAlign w:val="center"/>
          </w:tcPr>
          <w:p w14:paraId="0A3CCBFB">
            <w:pPr>
              <w:numPr>
                <w:ilvl w:val="255"/>
                <w:numId w:val="0"/>
              </w:numPr>
              <w:autoSpaceDE w:val="0"/>
              <w:autoSpaceDN w:val="0"/>
              <w:snapToGrid w:val="0"/>
              <w:rPr>
                <w:rFonts w:cs="宋体"/>
              </w:rPr>
            </w:pPr>
            <w:r>
              <w:rPr>
                <w:rFonts w:hint="eastAsia" w:cs="宋体"/>
              </w:rPr>
              <w:t>TB/T 3112.4—2017</w:t>
            </w:r>
          </w:p>
          <w:p w14:paraId="596A18E0">
            <w:pPr>
              <w:rPr>
                <w:rFonts w:cs="宋体"/>
              </w:rPr>
            </w:pPr>
            <w:r>
              <w:rPr>
                <w:rFonts w:hint="eastAsia" w:cs="宋体"/>
              </w:rPr>
              <w:t>第</w:t>
            </w:r>
            <w:r>
              <w:rPr>
                <w:rFonts w:cs="宋体"/>
              </w:rPr>
              <w:t>4.8</w:t>
            </w:r>
            <w:r>
              <w:rPr>
                <w:rFonts w:hint="eastAsia" w:cs="宋体"/>
              </w:rPr>
              <w:t>条</w:t>
            </w:r>
          </w:p>
        </w:tc>
        <w:tc>
          <w:tcPr>
            <w:tcW w:w="986" w:type="pct"/>
            <w:vAlign w:val="center"/>
          </w:tcPr>
          <w:p w14:paraId="56492829">
            <w:pPr>
              <w:numPr>
                <w:ilvl w:val="255"/>
                <w:numId w:val="0"/>
              </w:numPr>
              <w:autoSpaceDE w:val="0"/>
              <w:autoSpaceDN w:val="0"/>
              <w:snapToGrid w:val="0"/>
              <w:rPr>
                <w:rFonts w:cs="宋体"/>
              </w:rPr>
            </w:pPr>
            <w:r>
              <w:rPr>
                <w:rFonts w:hint="eastAsia" w:cs="宋体"/>
              </w:rPr>
              <w:t>TB/T 3112.4—2017</w:t>
            </w:r>
          </w:p>
          <w:p w14:paraId="4F967E1E">
            <w:pPr>
              <w:rPr>
                <w:rFonts w:cs="宋体"/>
              </w:rPr>
            </w:pPr>
            <w:r>
              <w:rPr>
                <w:rFonts w:hint="eastAsia" w:cs="宋体"/>
              </w:rPr>
              <w:t>第</w:t>
            </w:r>
            <w:r>
              <w:rPr>
                <w:rFonts w:cs="宋体"/>
              </w:rPr>
              <w:t>5.8</w:t>
            </w:r>
            <w:r>
              <w:rPr>
                <w:rFonts w:hint="eastAsia" w:cs="宋体"/>
              </w:rPr>
              <w:t>条</w:t>
            </w:r>
          </w:p>
        </w:tc>
        <w:tc>
          <w:tcPr>
            <w:tcW w:w="379" w:type="pct"/>
            <w:vAlign w:val="center"/>
          </w:tcPr>
          <w:p w14:paraId="5B711AD7">
            <w:pPr>
              <w:numPr>
                <w:ilvl w:val="255"/>
                <w:numId w:val="0"/>
              </w:numPr>
              <w:autoSpaceDE w:val="0"/>
              <w:autoSpaceDN w:val="0"/>
              <w:snapToGrid w:val="0"/>
              <w:rPr>
                <w:rFonts w:cs="宋体"/>
              </w:rPr>
            </w:pPr>
            <w:r>
              <w:rPr>
                <w:rFonts w:hint="eastAsia" w:cs="宋体"/>
              </w:rPr>
              <w:t>√</w:t>
            </w:r>
          </w:p>
        </w:tc>
        <w:tc>
          <w:tcPr>
            <w:tcW w:w="378" w:type="pct"/>
            <w:vAlign w:val="center"/>
          </w:tcPr>
          <w:p w14:paraId="1D1F910F">
            <w:pPr>
              <w:numPr>
                <w:ilvl w:val="255"/>
                <w:numId w:val="0"/>
              </w:numPr>
              <w:autoSpaceDE w:val="0"/>
              <w:autoSpaceDN w:val="0"/>
              <w:snapToGrid w:val="0"/>
              <w:rPr>
                <w:rFonts w:cs="宋体"/>
              </w:rPr>
            </w:pPr>
            <w:r>
              <w:rPr>
                <w:rFonts w:hint="eastAsia" w:cs="宋体"/>
              </w:rPr>
              <w:t>√</w:t>
            </w:r>
          </w:p>
        </w:tc>
        <w:tc>
          <w:tcPr>
            <w:tcW w:w="380" w:type="pct"/>
            <w:vAlign w:val="center"/>
          </w:tcPr>
          <w:p w14:paraId="5F0CB5F4">
            <w:pPr>
              <w:numPr>
                <w:ilvl w:val="255"/>
                <w:numId w:val="0"/>
              </w:numPr>
              <w:autoSpaceDE w:val="0"/>
              <w:autoSpaceDN w:val="0"/>
              <w:snapToGrid w:val="0"/>
              <w:rPr>
                <w:rFonts w:cs="宋体"/>
              </w:rPr>
            </w:pPr>
            <w:r>
              <w:rPr>
                <w:rFonts w:hint="eastAsia" w:cs="宋体"/>
              </w:rPr>
              <w:t>√</w:t>
            </w:r>
          </w:p>
        </w:tc>
        <w:tc>
          <w:tcPr>
            <w:tcW w:w="374" w:type="pct"/>
            <w:tcBorders>
              <w:right w:val="single" w:color="auto" w:sz="8" w:space="0"/>
            </w:tcBorders>
            <w:vAlign w:val="center"/>
          </w:tcPr>
          <w:p w14:paraId="05AD32C0">
            <w:pPr>
              <w:numPr>
                <w:ilvl w:val="255"/>
                <w:numId w:val="0"/>
              </w:numPr>
              <w:autoSpaceDE w:val="0"/>
              <w:autoSpaceDN w:val="0"/>
              <w:snapToGrid w:val="0"/>
              <w:rPr>
                <w:rFonts w:cs="宋体"/>
              </w:rPr>
            </w:pPr>
            <w:r>
              <w:rPr>
                <w:rFonts w:hint="eastAsia" w:cs="宋体"/>
              </w:rPr>
              <w:t>—</w:t>
            </w:r>
          </w:p>
        </w:tc>
      </w:tr>
      <w:tr w14:paraId="75387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57" w:type="pct"/>
            <w:tcBorders>
              <w:left w:val="single" w:color="auto" w:sz="8" w:space="0"/>
            </w:tcBorders>
            <w:vAlign w:val="center"/>
          </w:tcPr>
          <w:p w14:paraId="44589ED8">
            <w:pPr>
              <w:numPr>
                <w:ilvl w:val="255"/>
                <w:numId w:val="0"/>
              </w:numPr>
              <w:autoSpaceDE w:val="0"/>
              <w:autoSpaceDN w:val="0"/>
              <w:snapToGrid w:val="0"/>
              <w:rPr>
                <w:rFonts w:cs="宋体"/>
              </w:rPr>
            </w:pPr>
            <w:r>
              <w:rPr>
                <w:rFonts w:hint="eastAsia" w:cs="宋体"/>
              </w:rPr>
              <w:t>6</w:t>
            </w:r>
          </w:p>
        </w:tc>
        <w:tc>
          <w:tcPr>
            <w:tcW w:w="1155" w:type="pct"/>
            <w:vAlign w:val="center"/>
          </w:tcPr>
          <w:p w14:paraId="16D290AC">
            <w:pPr>
              <w:numPr>
                <w:ilvl w:val="255"/>
                <w:numId w:val="0"/>
              </w:numPr>
              <w:autoSpaceDE w:val="0"/>
              <w:autoSpaceDN w:val="0"/>
              <w:snapToGrid w:val="0"/>
              <w:rPr>
                <w:rFonts w:cs="宋体"/>
              </w:rPr>
            </w:pPr>
            <w:r>
              <w:rPr>
                <w:rFonts w:hint="eastAsia" w:cs="宋体"/>
                <w:lang w:bidi="ar"/>
              </w:rPr>
              <w:t>温升</w:t>
            </w:r>
          </w:p>
        </w:tc>
        <w:tc>
          <w:tcPr>
            <w:tcW w:w="986" w:type="pct"/>
            <w:vAlign w:val="center"/>
          </w:tcPr>
          <w:p w14:paraId="2704E5E9">
            <w:pPr>
              <w:rPr>
                <w:rFonts w:cs="宋体"/>
              </w:rPr>
            </w:pPr>
            <w:r>
              <w:rPr>
                <w:rFonts w:hint="eastAsia" w:cs="宋体"/>
              </w:rPr>
              <w:t>TB/T 3112.4—2017</w:t>
            </w:r>
          </w:p>
          <w:p w14:paraId="01F4E3CE">
            <w:pPr>
              <w:rPr>
                <w:rFonts w:cs="宋体"/>
              </w:rPr>
            </w:pPr>
            <w:r>
              <w:rPr>
                <w:rFonts w:hint="eastAsia" w:cs="宋体"/>
              </w:rPr>
              <w:t>第</w:t>
            </w:r>
            <w:r>
              <w:rPr>
                <w:rFonts w:cs="宋体"/>
              </w:rPr>
              <w:t>4.9</w:t>
            </w:r>
            <w:r>
              <w:rPr>
                <w:rFonts w:hint="eastAsia" w:cs="宋体"/>
              </w:rPr>
              <w:t>条</w:t>
            </w:r>
          </w:p>
        </w:tc>
        <w:tc>
          <w:tcPr>
            <w:tcW w:w="986" w:type="pct"/>
            <w:vAlign w:val="center"/>
          </w:tcPr>
          <w:p w14:paraId="2AD4063E">
            <w:pPr>
              <w:rPr>
                <w:rFonts w:cs="宋体"/>
              </w:rPr>
            </w:pPr>
            <w:r>
              <w:rPr>
                <w:rFonts w:hint="eastAsia" w:cs="宋体"/>
              </w:rPr>
              <w:t>TB/T 3112.4—2017</w:t>
            </w:r>
          </w:p>
          <w:p w14:paraId="2300390B">
            <w:pPr>
              <w:rPr>
                <w:rFonts w:cs="宋体"/>
              </w:rPr>
            </w:pPr>
            <w:r>
              <w:rPr>
                <w:rFonts w:hint="eastAsia" w:cs="宋体"/>
              </w:rPr>
              <w:t>第</w:t>
            </w:r>
            <w:r>
              <w:rPr>
                <w:rFonts w:cs="宋体"/>
              </w:rPr>
              <w:t>5.9</w:t>
            </w:r>
            <w:r>
              <w:rPr>
                <w:rFonts w:hint="eastAsia" w:cs="宋体"/>
              </w:rPr>
              <w:t>条</w:t>
            </w:r>
          </w:p>
        </w:tc>
        <w:tc>
          <w:tcPr>
            <w:tcW w:w="379" w:type="pct"/>
            <w:vAlign w:val="center"/>
          </w:tcPr>
          <w:p w14:paraId="5A990E2C">
            <w:pPr>
              <w:numPr>
                <w:ilvl w:val="255"/>
                <w:numId w:val="0"/>
              </w:numPr>
              <w:autoSpaceDE w:val="0"/>
              <w:autoSpaceDN w:val="0"/>
              <w:snapToGrid w:val="0"/>
              <w:rPr>
                <w:rFonts w:cs="宋体"/>
              </w:rPr>
            </w:pPr>
            <w:r>
              <w:rPr>
                <w:rFonts w:hint="eastAsia" w:cs="宋体"/>
              </w:rPr>
              <w:t>√</w:t>
            </w:r>
          </w:p>
        </w:tc>
        <w:tc>
          <w:tcPr>
            <w:tcW w:w="378" w:type="pct"/>
            <w:vAlign w:val="center"/>
          </w:tcPr>
          <w:p w14:paraId="3CC18A26">
            <w:pPr>
              <w:numPr>
                <w:ilvl w:val="255"/>
                <w:numId w:val="0"/>
              </w:numPr>
              <w:autoSpaceDE w:val="0"/>
              <w:autoSpaceDN w:val="0"/>
              <w:snapToGrid w:val="0"/>
              <w:rPr>
                <w:rFonts w:cs="宋体"/>
              </w:rPr>
            </w:pPr>
            <w:r>
              <w:rPr>
                <w:rFonts w:hint="eastAsia" w:cs="宋体"/>
              </w:rPr>
              <w:t>√</w:t>
            </w:r>
          </w:p>
        </w:tc>
        <w:tc>
          <w:tcPr>
            <w:tcW w:w="380" w:type="pct"/>
            <w:vAlign w:val="center"/>
          </w:tcPr>
          <w:p w14:paraId="67DD9750">
            <w:pPr>
              <w:numPr>
                <w:ilvl w:val="255"/>
                <w:numId w:val="0"/>
              </w:numPr>
              <w:autoSpaceDE w:val="0"/>
              <w:autoSpaceDN w:val="0"/>
              <w:snapToGrid w:val="0"/>
              <w:rPr>
                <w:rFonts w:cs="宋体"/>
              </w:rPr>
            </w:pPr>
            <w:r>
              <w:rPr>
                <w:rFonts w:hint="eastAsia" w:cs="宋体"/>
              </w:rPr>
              <w:t>√</w:t>
            </w:r>
          </w:p>
        </w:tc>
        <w:tc>
          <w:tcPr>
            <w:tcW w:w="374" w:type="pct"/>
            <w:tcBorders>
              <w:right w:val="single" w:color="auto" w:sz="8" w:space="0"/>
            </w:tcBorders>
            <w:vAlign w:val="center"/>
          </w:tcPr>
          <w:p w14:paraId="3B02CB27">
            <w:pPr>
              <w:numPr>
                <w:ilvl w:val="255"/>
                <w:numId w:val="0"/>
              </w:numPr>
              <w:autoSpaceDE w:val="0"/>
              <w:autoSpaceDN w:val="0"/>
              <w:snapToGrid w:val="0"/>
              <w:rPr>
                <w:rFonts w:cs="宋体"/>
              </w:rPr>
            </w:pPr>
            <w:r>
              <w:rPr>
                <w:rFonts w:hint="eastAsia" w:cs="宋体"/>
              </w:rPr>
              <w:t>—</w:t>
            </w:r>
          </w:p>
        </w:tc>
      </w:tr>
      <w:tr w14:paraId="3C268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57" w:type="pct"/>
            <w:tcBorders>
              <w:left w:val="single" w:color="auto" w:sz="8" w:space="0"/>
            </w:tcBorders>
            <w:vAlign w:val="center"/>
          </w:tcPr>
          <w:p w14:paraId="11542B67">
            <w:pPr>
              <w:numPr>
                <w:ilvl w:val="255"/>
                <w:numId w:val="0"/>
              </w:numPr>
              <w:autoSpaceDE w:val="0"/>
              <w:autoSpaceDN w:val="0"/>
              <w:snapToGrid w:val="0"/>
              <w:rPr>
                <w:rFonts w:cs="宋体"/>
              </w:rPr>
            </w:pPr>
            <w:r>
              <w:rPr>
                <w:rFonts w:hint="eastAsia" w:cs="宋体"/>
              </w:rPr>
              <w:t>7</w:t>
            </w:r>
          </w:p>
        </w:tc>
        <w:tc>
          <w:tcPr>
            <w:tcW w:w="1155" w:type="pct"/>
            <w:vAlign w:val="center"/>
          </w:tcPr>
          <w:p w14:paraId="6511C198">
            <w:pPr>
              <w:numPr>
                <w:ilvl w:val="255"/>
                <w:numId w:val="0"/>
              </w:numPr>
              <w:autoSpaceDE w:val="0"/>
              <w:autoSpaceDN w:val="0"/>
              <w:snapToGrid w:val="0"/>
              <w:rPr>
                <w:rFonts w:cs="宋体"/>
              </w:rPr>
            </w:pPr>
            <w:r>
              <w:rPr>
                <w:rFonts w:hint="eastAsia" w:cs="宋体"/>
                <w:lang w:bidi="ar"/>
              </w:rPr>
              <w:t>低温</w:t>
            </w:r>
          </w:p>
        </w:tc>
        <w:tc>
          <w:tcPr>
            <w:tcW w:w="986" w:type="pct"/>
            <w:vAlign w:val="center"/>
          </w:tcPr>
          <w:p w14:paraId="753CC061">
            <w:pPr>
              <w:rPr>
                <w:rFonts w:cs="宋体"/>
              </w:rPr>
            </w:pPr>
            <w:r>
              <w:rPr>
                <w:rFonts w:hint="eastAsia" w:cs="宋体"/>
              </w:rPr>
              <w:t>TB/T 3112.4—2017</w:t>
            </w:r>
          </w:p>
          <w:p w14:paraId="36AD331D">
            <w:pPr>
              <w:rPr>
                <w:rFonts w:cs="宋体"/>
              </w:rPr>
            </w:pPr>
            <w:r>
              <w:rPr>
                <w:rFonts w:hint="eastAsia" w:cs="宋体"/>
              </w:rPr>
              <w:t>第</w:t>
            </w:r>
            <w:r>
              <w:rPr>
                <w:rFonts w:cs="宋体"/>
              </w:rPr>
              <w:t>4.10</w:t>
            </w:r>
            <w:r>
              <w:rPr>
                <w:rFonts w:hint="eastAsia" w:cs="宋体"/>
              </w:rPr>
              <w:t>条</w:t>
            </w:r>
          </w:p>
        </w:tc>
        <w:tc>
          <w:tcPr>
            <w:tcW w:w="986" w:type="pct"/>
            <w:vAlign w:val="center"/>
          </w:tcPr>
          <w:p w14:paraId="2D8EAC57">
            <w:pPr>
              <w:rPr>
                <w:rFonts w:cs="宋体"/>
              </w:rPr>
            </w:pPr>
            <w:r>
              <w:rPr>
                <w:rFonts w:hint="eastAsia" w:cs="宋体"/>
              </w:rPr>
              <w:t>TB/T 3112.4—2017</w:t>
            </w:r>
          </w:p>
          <w:p w14:paraId="5576400C">
            <w:pPr>
              <w:rPr>
                <w:rFonts w:cs="宋体"/>
              </w:rPr>
            </w:pPr>
            <w:r>
              <w:rPr>
                <w:rFonts w:hint="eastAsia" w:cs="宋体"/>
              </w:rPr>
              <w:t>第</w:t>
            </w:r>
            <w:r>
              <w:rPr>
                <w:rFonts w:cs="宋体"/>
              </w:rPr>
              <w:t>5.10</w:t>
            </w:r>
            <w:r>
              <w:rPr>
                <w:rFonts w:hint="eastAsia" w:cs="宋体"/>
              </w:rPr>
              <w:t>条</w:t>
            </w:r>
          </w:p>
        </w:tc>
        <w:tc>
          <w:tcPr>
            <w:tcW w:w="379" w:type="pct"/>
            <w:vAlign w:val="center"/>
          </w:tcPr>
          <w:p w14:paraId="34840046">
            <w:pPr>
              <w:numPr>
                <w:ilvl w:val="255"/>
                <w:numId w:val="0"/>
              </w:numPr>
              <w:autoSpaceDE w:val="0"/>
              <w:autoSpaceDN w:val="0"/>
              <w:snapToGrid w:val="0"/>
              <w:rPr>
                <w:rFonts w:cs="宋体"/>
              </w:rPr>
            </w:pPr>
            <w:r>
              <w:rPr>
                <w:rFonts w:hint="eastAsia" w:cs="宋体"/>
              </w:rPr>
              <w:t>√</w:t>
            </w:r>
          </w:p>
        </w:tc>
        <w:tc>
          <w:tcPr>
            <w:tcW w:w="378" w:type="pct"/>
            <w:vAlign w:val="center"/>
          </w:tcPr>
          <w:p w14:paraId="470B5732">
            <w:pPr>
              <w:numPr>
                <w:ilvl w:val="255"/>
                <w:numId w:val="0"/>
              </w:numPr>
              <w:autoSpaceDE w:val="0"/>
              <w:autoSpaceDN w:val="0"/>
              <w:snapToGrid w:val="0"/>
              <w:rPr>
                <w:rFonts w:cs="宋体"/>
              </w:rPr>
            </w:pPr>
            <w:r>
              <w:rPr>
                <w:rFonts w:hint="eastAsia" w:cs="宋体"/>
              </w:rPr>
              <w:t>√</w:t>
            </w:r>
          </w:p>
        </w:tc>
        <w:tc>
          <w:tcPr>
            <w:tcW w:w="380" w:type="pct"/>
            <w:vAlign w:val="center"/>
          </w:tcPr>
          <w:p w14:paraId="191CE3DF">
            <w:pPr>
              <w:numPr>
                <w:ilvl w:val="255"/>
                <w:numId w:val="0"/>
              </w:numPr>
              <w:autoSpaceDE w:val="0"/>
              <w:autoSpaceDN w:val="0"/>
              <w:snapToGrid w:val="0"/>
              <w:rPr>
                <w:rFonts w:cs="宋体"/>
              </w:rPr>
            </w:pPr>
            <w:r>
              <w:rPr>
                <w:rFonts w:hint="eastAsia" w:cs="宋体"/>
              </w:rPr>
              <w:t>√</w:t>
            </w:r>
          </w:p>
        </w:tc>
        <w:tc>
          <w:tcPr>
            <w:tcW w:w="374" w:type="pct"/>
            <w:tcBorders>
              <w:right w:val="single" w:color="auto" w:sz="8" w:space="0"/>
            </w:tcBorders>
            <w:vAlign w:val="center"/>
          </w:tcPr>
          <w:p w14:paraId="045E992A">
            <w:pPr>
              <w:numPr>
                <w:ilvl w:val="255"/>
                <w:numId w:val="0"/>
              </w:numPr>
              <w:autoSpaceDE w:val="0"/>
              <w:autoSpaceDN w:val="0"/>
              <w:snapToGrid w:val="0"/>
              <w:rPr>
                <w:rFonts w:cs="宋体"/>
              </w:rPr>
            </w:pPr>
            <w:r>
              <w:rPr>
                <w:rFonts w:hint="eastAsia" w:cs="宋体"/>
              </w:rPr>
              <w:t>—</w:t>
            </w:r>
          </w:p>
        </w:tc>
      </w:tr>
      <w:tr w14:paraId="4239B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57" w:type="pct"/>
            <w:tcBorders>
              <w:left w:val="single" w:color="auto" w:sz="8" w:space="0"/>
            </w:tcBorders>
            <w:vAlign w:val="center"/>
          </w:tcPr>
          <w:p w14:paraId="2D3279AA">
            <w:pPr>
              <w:numPr>
                <w:ilvl w:val="255"/>
                <w:numId w:val="0"/>
              </w:numPr>
              <w:autoSpaceDE w:val="0"/>
              <w:autoSpaceDN w:val="0"/>
              <w:snapToGrid w:val="0"/>
              <w:rPr>
                <w:rFonts w:cs="宋体"/>
              </w:rPr>
            </w:pPr>
            <w:r>
              <w:rPr>
                <w:rFonts w:hint="eastAsia" w:cs="宋体"/>
              </w:rPr>
              <w:t>8</w:t>
            </w:r>
          </w:p>
        </w:tc>
        <w:tc>
          <w:tcPr>
            <w:tcW w:w="1155" w:type="pct"/>
            <w:vAlign w:val="center"/>
          </w:tcPr>
          <w:p w14:paraId="047228FB">
            <w:pPr>
              <w:numPr>
                <w:ilvl w:val="255"/>
                <w:numId w:val="0"/>
              </w:numPr>
              <w:autoSpaceDE w:val="0"/>
              <w:autoSpaceDN w:val="0"/>
              <w:snapToGrid w:val="0"/>
              <w:rPr>
                <w:rFonts w:cs="宋体"/>
              </w:rPr>
            </w:pPr>
            <w:r>
              <w:rPr>
                <w:rFonts w:hint="eastAsia" w:cs="宋体"/>
                <w:lang w:bidi="ar"/>
              </w:rPr>
              <w:t>高温</w:t>
            </w:r>
          </w:p>
        </w:tc>
        <w:tc>
          <w:tcPr>
            <w:tcW w:w="986" w:type="pct"/>
            <w:vAlign w:val="center"/>
          </w:tcPr>
          <w:p w14:paraId="2A9ADDD5">
            <w:pPr>
              <w:rPr>
                <w:rFonts w:cs="宋体"/>
              </w:rPr>
            </w:pPr>
            <w:r>
              <w:rPr>
                <w:rFonts w:hint="eastAsia" w:cs="宋体"/>
              </w:rPr>
              <w:t>TB/T 3112.4—2017</w:t>
            </w:r>
          </w:p>
          <w:p w14:paraId="123CF425">
            <w:pPr>
              <w:rPr>
                <w:rFonts w:cs="宋体"/>
              </w:rPr>
            </w:pPr>
            <w:r>
              <w:rPr>
                <w:rFonts w:hint="eastAsia" w:cs="宋体"/>
              </w:rPr>
              <w:t>第</w:t>
            </w:r>
            <w:r>
              <w:rPr>
                <w:rFonts w:cs="宋体"/>
              </w:rPr>
              <w:t>4.11</w:t>
            </w:r>
            <w:r>
              <w:rPr>
                <w:rFonts w:hint="eastAsia" w:cs="宋体"/>
              </w:rPr>
              <w:t>条</w:t>
            </w:r>
          </w:p>
        </w:tc>
        <w:tc>
          <w:tcPr>
            <w:tcW w:w="986" w:type="pct"/>
            <w:vAlign w:val="center"/>
          </w:tcPr>
          <w:p w14:paraId="476EF905">
            <w:pPr>
              <w:rPr>
                <w:rFonts w:cs="宋体"/>
              </w:rPr>
            </w:pPr>
            <w:r>
              <w:rPr>
                <w:rFonts w:hint="eastAsia" w:cs="宋体"/>
              </w:rPr>
              <w:t>TB/T 3112.4—2017第第</w:t>
            </w:r>
            <w:r>
              <w:rPr>
                <w:rFonts w:cs="宋体"/>
              </w:rPr>
              <w:t>5.11</w:t>
            </w:r>
            <w:r>
              <w:rPr>
                <w:rFonts w:hint="eastAsia" w:cs="宋体"/>
              </w:rPr>
              <w:t>条</w:t>
            </w:r>
          </w:p>
        </w:tc>
        <w:tc>
          <w:tcPr>
            <w:tcW w:w="379" w:type="pct"/>
            <w:vAlign w:val="center"/>
          </w:tcPr>
          <w:p w14:paraId="07541CE5">
            <w:pPr>
              <w:numPr>
                <w:ilvl w:val="255"/>
                <w:numId w:val="0"/>
              </w:numPr>
              <w:autoSpaceDE w:val="0"/>
              <w:autoSpaceDN w:val="0"/>
              <w:snapToGrid w:val="0"/>
              <w:rPr>
                <w:rFonts w:cs="宋体"/>
              </w:rPr>
            </w:pPr>
            <w:r>
              <w:rPr>
                <w:rFonts w:hint="eastAsia" w:cs="宋体"/>
              </w:rPr>
              <w:t>√</w:t>
            </w:r>
          </w:p>
        </w:tc>
        <w:tc>
          <w:tcPr>
            <w:tcW w:w="378" w:type="pct"/>
            <w:vAlign w:val="center"/>
          </w:tcPr>
          <w:p w14:paraId="40E53C22">
            <w:pPr>
              <w:numPr>
                <w:ilvl w:val="255"/>
                <w:numId w:val="0"/>
              </w:numPr>
              <w:autoSpaceDE w:val="0"/>
              <w:autoSpaceDN w:val="0"/>
              <w:snapToGrid w:val="0"/>
              <w:rPr>
                <w:rFonts w:cs="宋体"/>
              </w:rPr>
            </w:pPr>
            <w:r>
              <w:rPr>
                <w:rFonts w:hint="eastAsia" w:cs="宋体"/>
              </w:rPr>
              <w:t>√</w:t>
            </w:r>
          </w:p>
        </w:tc>
        <w:tc>
          <w:tcPr>
            <w:tcW w:w="380" w:type="pct"/>
            <w:vAlign w:val="center"/>
          </w:tcPr>
          <w:p w14:paraId="3540AE02">
            <w:pPr>
              <w:numPr>
                <w:ilvl w:val="255"/>
                <w:numId w:val="0"/>
              </w:numPr>
              <w:autoSpaceDE w:val="0"/>
              <w:autoSpaceDN w:val="0"/>
              <w:snapToGrid w:val="0"/>
              <w:rPr>
                <w:rFonts w:cs="宋体"/>
              </w:rPr>
            </w:pPr>
            <w:r>
              <w:rPr>
                <w:rFonts w:hint="eastAsia" w:cs="宋体"/>
              </w:rPr>
              <w:t>√</w:t>
            </w:r>
          </w:p>
        </w:tc>
        <w:tc>
          <w:tcPr>
            <w:tcW w:w="374" w:type="pct"/>
            <w:tcBorders>
              <w:right w:val="single" w:color="auto" w:sz="8" w:space="0"/>
            </w:tcBorders>
            <w:vAlign w:val="center"/>
          </w:tcPr>
          <w:p w14:paraId="0D604B69">
            <w:pPr>
              <w:numPr>
                <w:ilvl w:val="255"/>
                <w:numId w:val="0"/>
              </w:numPr>
              <w:autoSpaceDE w:val="0"/>
              <w:autoSpaceDN w:val="0"/>
              <w:snapToGrid w:val="0"/>
              <w:rPr>
                <w:rFonts w:cs="宋体"/>
              </w:rPr>
            </w:pPr>
            <w:r>
              <w:rPr>
                <w:rFonts w:hint="eastAsia" w:cs="宋体"/>
              </w:rPr>
              <w:t>—</w:t>
            </w:r>
          </w:p>
        </w:tc>
      </w:tr>
      <w:tr w14:paraId="201CE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57" w:type="pct"/>
            <w:tcBorders>
              <w:left w:val="single" w:color="auto" w:sz="8" w:space="0"/>
            </w:tcBorders>
            <w:vAlign w:val="center"/>
          </w:tcPr>
          <w:p w14:paraId="3B068EC3">
            <w:pPr>
              <w:numPr>
                <w:ilvl w:val="255"/>
                <w:numId w:val="0"/>
              </w:numPr>
              <w:autoSpaceDE w:val="0"/>
              <w:autoSpaceDN w:val="0"/>
              <w:snapToGrid w:val="0"/>
              <w:rPr>
                <w:rFonts w:cs="宋体"/>
              </w:rPr>
            </w:pPr>
            <w:r>
              <w:rPr>
                <w:rFonts w:hint="eastAsia" w:cs="宋体"/>
                <w:lang w:bidi="ar"/>
              </w:rPr>
              <w:t>9</w:t>
            </w:r>
          </w:p>
        </w:tc>
        <w:tc>
          <w:tcPr>
            <w:tcW w:w="1155" w:type="pct"/>
            <w:vAlign w:val="center"/>
          </w:tcPr>
          <w:p w14:paraId="059F9401">
            <w:pPr>
              <w:numPr>
                <w:ilvl w:val="255"/>
                <w:numId w:val="0"/>
              </w:numPr>
              <w:autoSpaceDE w:val="0"/>
              <w:autoSpaceDN w:val="0"/>
              <w:snapToGrid w:val="0"/>
              <w:rPr>
                <w:rFonts w:cs="宋体"/>
              </w:rPr>
            </w:pPr>
            <w:r>
              <w:rPr>
                <w:rFonts w:hint="eastAsia" w:cs="宋体"/>
                <w:lang w:bidi="ar"/>
              </w:rPr>
              <w:t>恒定湿热</w:t>
            </w:r>
          </w:p>
        </w:tc>
        <w:tc>
          <w:tcPr>
            <w:tcW w:w="986" w:type="pct"/>
            <w:vAlign w:val="center"/>
          </w:tcPr>
          <w:p w14:paraId="55FD9093">
            <w:pPr>
              <w:rPr>
                <w:rFonts w:cs="宋体"/>
              </w:rPr>
            </w:pPr>
            <w:r>
              <w:rPr>
                <w:rFonts w:hint="eastAsia" w:cs="宋体"/>
              </w:rPr>
              <w:t>TB/T 3112.4—2017</w:t>
            </w:r>
          </w:p>
          <w:p w14:paraId="7BA049AA">
            <w:pPr>
              <w:rPr>
                <w:rFonts w:cs="宋体"/>
              </w:rPr>
            </w:pPr>
            <w:r>
              <w:rPr>
                <w:rFonts w:hint="eastAsia" w:cs="宋体"/>
              </w:rPr>
              <w:t>第</w:t>
            </w:r>
            <w:r>
              <w:rPr>
                <w:rFonts w:cs="宋体"/>
              </w:rPr>
              <w:t>4.12</w:t>
            </w:r>
            <w:r>
              <w:rPr>
                <w:rFonts w:hint="eastAsia" w:cs="宋体"/>
              </w:rPr>
              <w:t>条</w:t>
            </w:r>
          </w:p>
        </w:tc>
        <w:tc>
          <w:tcPr>
            <w:tcW w:w="986" w:type="pct"/>
            <w:vAlign w:val="center"/>
          </w:tcPr>
          <w:p w14:paraId="4F36FF09">
            <w:pPr>
              <w:rPr>
                <w:rFonts w:cs="宋体"/>
              </w:rPr>
            </w:pPr>
            <w:r>
              <w:rPr>
                <w:rFonts w:hint="eastAsia" w:cs="宋体"/>
              </w:rPr>
              <w:t>TB/T 3112.4—2017第第</w:t>
            </w:r>
            <w:r>
              <w:rPr>
                <w:rFonts w:cs="宋体"/>
              </w:rPr>
              <w:t>5.12</w:t>
            </w:r>
            <w:r>
              <w:rPr>
                <w:rFonts w:hint="eastAsia" w:cs="宋体"/>
              </w:rPr>
              <w:t>条</w:t>
            </w:r>
          </w:p>
        </w:tc>
        <w:tc>
          <w:tcPr>
            <w:tcW w:w="379" w:type="pct"/>
            <w:vAlign w:val="center"/>
          </w:tcPr>
          <w:p w14:paraId="0BE2D4EA">
            <w:pPr>
              <w:numPr>
                <w:ilvl w:val="255"/>
                <w:numId w:val="0"/>
              </w:numPr>
              <w:autoSpaceDE w:val="0"/>
              <w:autoSpaceDN w:val="0"/>
              <w:snapToGrid w:val="0"/>
              <w:rPr>
                <w:rFonts w:cs="宋体"/>
              </w:rPr>
            </w:pPr>
            <w:r>
              <w:rPr>
                <w:rFonts w:hint="eastAsia" w:cs="宋体"/>
              </w:rPr>
              <w:t>√</w:t>
            </w:r>
          </w:p>
        </w:tc>
        <w:tc>
          <w:tcPr>
            <w:tcW w:w="378" w:type="pct"/>
            <w:vAlign w:val="center"/>
          </w:tcPr>
          <w:p w14:paraId="180EC3EA">
            <w:pPr>
              <w:numPr>
                <w:ilvl w:val="255"/>
                <w:numId w:val="0"/>
              </w:numPr>
              <w:autoSpaceDE w:val="0"/>
              <w:autoSpaceDN w:val="0"/>
              <w:snapToGrid w:val="0"/>
              <w:rPr>
                <w:rFonts w:cs="宋体"/>
              </w:rPr>
            </w:pPr>
            <w:r>
              <w:rPr>
                <w:rFonts w:hint="eastAsia" w:cs="宋体"/>
              </w:rPr>
              <w:t>√</w:t>
            </w:r>
          </w:p>
        </w:tc>
        <w:tc>
          <w:tcPr>
            <w:tcW w:w="380" w:type="pct"/>
            <w:vAlign w:val="center"/>
          </w:tcPr>
          <w:p w14:paraId="097EB69C">
            <w:pPr>
              <w:numPr>
                <w:ilvl w:val="255"/>
                <w:numId w:val="0"/>
              </w:numPr>
              <w:autoSpaceDE w:val="0"/>
              <w:autoSpaceDN w:val="0"/>
              <w:snapToGrid w:val="0"/>
              <w:rPr>
                <w:rFonts w:cs="宋体"/>
              </w:rPr>
            </w:pPr>
            <w:r>
              <w:rPr>
                <w:rFonts w:hint="eastAsia" w:cs="宋体"/>
              </w:rPr>
              <w:t>—</w:t>
            </w:r>
          </w:p>
        </w:tc>
        <w:tc>
          <w:tcPr>
            <w:tcW w:w="374" w:type="pct"/>
            <w:tcBorders>
              <w:right w:val="single" w:color="auto" w:sz="8" w:space="0"/>
            </w:tcBorders>
            <w:vAlign w:val="center"/>
          </w:tcPr>
          <w:p w14:paraId="5D3046E7">
            <w:pPr>
              <w:numPr>
                <w:ilvl w:val="255"/>
                <w:numId w:val="0"/>
              </w:numPr>
              <w:autoSpaceDE w:val="0"/>
              <w:autoSpaceDN w:val="0"/>
              <w:snapToGrid w:val="0"/>
              <w:rPr>
                <w:rFonts w:cs="宋体"/>
              </w:rPr>
            </w:pPr>
            <w:r>
              <w:rPr>
                <w:rFonts w:hint="eastAsia" w:cs="宋体"/>
              </w:rPr>
              <w:t>—</w:t>
            </w:r>
          </w:p>
        </w:tc>
      </w:tr>
      <w:tr w14:paraId="6ADFA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57" w:type="pct"/>
            <w:tcBorders>
              <w:left w:val="single" w:color="auto" w:sz="8" w:space="0"/>
            </w:tcBorders>
            <w:vAlign w:val="center"/>
          </w:tcPr>
          <w:p w14:paraId="103C8E6D">
            <w:pPr>
              <w:numPr>
                <w:ilvl w:val="255"/>
                <w:numId w:val="0"/>
              </w:numPr>
              <w:autoSpaceDE w:val="0"/>
              <w:autoSpaceDN w:val="0"/>
              <w:snapToGrid w:val="0"/>
              <w:rPr>
                <w:rFonts w:cs="宋体"/>
              </w:rPr>
            </w:pPr>
            <w:r>
              <w:rPr>
                <w:rFonts w:hint="eastAsia" w:cs="宋体"/>
                <w:lang w:bidi="ar"/>
              </w:rPr>
              <w:t>1</w:t>
            </w:r>
            <w:r>
              <w:rPr>
                <w:rFonts w:cs="宋体"/>
                <w:lang w:bidi="ar"/>
              </w:rPr>
              <w:t>0</w:t>
            </w:r>
          </w:p>
        </w:tc>
        <w:tc>
          <w:tcPr>
            <w:tcW w:w="1155" w:type="pct"/>
            <w:vAlign w:val="center"/>
          </w:tcPr>
          <w:p w14:paraId="7E30AE81">
            <w:pPr>
              <w:numPr>
                <w:ilvl w:val="255"/>
                <w:numId w:val="0"/>
              </w:numPr>
              <w:autoSpaceDE w:val="0"/>
              <w:autoSpaceDN w:val="0"/>
              <w:snapToGrid w:val="0"/>
              <w:rPr>
                <w:rFonts w:cs="宋体"/>
              </w:rPr>
            </w:pPr>
            <w:r>
              <w:rPr>
                <w:rFonts w:hint="eastAsia" w:cs="宋体"/>
                <w:lang w:bidi="ar"/>
              </w:rPr>
              <w:t>振动</w:t>
            </w:r>
          </w:p>
        </w:tc>
        <w:tc>
          <w:tcPr>
            <w:tcW w:w="986" w:type="pct"/>
            <w:vAlign w:val="center"/>
          </w:tcPr>
          <w:p w14:paraId="2CA392EF">
            <w:pPr>
              <w:rPr>
                <w:rFonts w:cs="宋体"/>
              </w:rPr>
            </w:pPr>
            <w:r>
              <w:rPr>
                <w:rFonts w:hint="eastAsia" w:cs="宋体"/>
              </w:rPr>
              <w:t>TB/T 3112.4—2017</w:t>
            </w:r>
          </w:p>
          <w:p w14:paraId="1A48AF45">
            <w:pPr>
              <w:rPr>
                <w:rFonts w:cs="宋体"/>
              </w:rPr>
            </w:pPr>
            <w:r>
              <w:rPr>
                <w:rFonts w:hint="eastAsia" w:cs="宋体"/>
              </w:rPr>
              <w:t>第</w:t>
            </w:r>
            <w:r>
              <w:rPr>
                <w:rFonts w:cs="宋体"/>
              </w:rPr>
              <w:t>4.13</w:t>
            </w:r>
            <w:r>
              <w:rPr>
                <w:rFonts w:hint="eastAsia" w:cs="宋体"/>
              </w:rPr>
              <w:t>条</w:t>
            </w:r>
          </w:p>
        </w:tc>
        <w:tc>
          <w:tcPr>
            <w:tcW w:w="986" w:type="pct"/>
            <w:vAlign w:val="center"/>
          </w:tcPr>
          <w:p w14:paraId="7178B8BD">
            <w:pPr>
              <w:rPr>
                <w:rFonts w:cs="宋体"/>
              </w:rPr>
            </w:pPr>
            <w:r>
              <w:rPr>
                <w:rFonts w:hint="eastAsia" w:cs="宋体"/>
              </w:rPr>
              <w:t>TB/T 3112.4—2017</w:t>
            </w:r>
          </w:p>
          <w:p w14:paraId="3F542039">
            <w:pPr>
              <w:rPr>
                <w:rFonts w:cs="宋体"/>
              </w:rPr>
            </w:pPr>
            <w:r>
              <w:rPr>
                <w:rFonts w:hint="eastAsia" w:cs="宋体"/>
              </w:rPr>
              <w:t>第</w:t>
            </w:r>
            <w:r>
              <w:rPr>
                <w:rFonts w:cs="宋体"/>
              </w:rPr>
              <w:t>5.13</w:t>
            </w:r>
            <w:r>
              <w:rPr>
                <w:rFonts w:hint="eastAsia" w:cs="宋体"/>
              </w:rPr>
              <w:t>条</w:t>
            </w:r>
          </w:p>
        </w:tc>
        <w:tc>
          <w:tcPr>
            <w:tcW w:w="379" w:type="pct"/>
            <w:vAlign w:val="center"/>
          </w:tcPr>
          <w:p w14:paraId="19650466">
            <w:pPr>
              <w:numPr>
                <w:ilvl w:val="255"/>
                <w:numId w:val="0"/>
              </w:numPr>
              <w:autoSpaceDE w:val="0"/>
              <w:autoSpaceDN w:val="0"/>
              <w:snapToGrid w:val="0"/>
              <w:rPr>
                <w:rFonts w:cs="宋体"/>
              </w:rPr>
            </w:pPr>
            <w:r>
              <w:rPr>
                <w:rFonts w:hint="eastAsia" w:cs="宋体"/>
              </w:rPr>
              <w:t>√</w:t>
            </w:r>
          </w:p>
        </w:tc>
        <w:tc>
          <w:tcPr>
            <w:tcW w:w="378" w:type="pct"/>
            <w:vAlign w:val="center"/>
          </w:tcPr>
          <w:p w14:paraId="536680CA">
            <w:pPr>
              <w:numPr>
                <w:ilvl w:val="255"/>
                <w:numId w:val="0"/>
              </w:numPr>
              <w:autoSpaceDE w:val="0"/>
              <w:autoSpaceDN w:val="0"/>
              <w:snapToGrid w:val="0"/>
              <w:rPr>
                <w:rFonts w:cs="宋体"/>
              </w:rPr>
            </w:pPr>
            <w:r>
              <w:rPr>
                <w:rFonts w:hint="eastAsia" w:cs="宋体"/>
              </w:rPr>
              <w:t>√</w:t>
            </w:r>
          </w:p>
        </w:tc>
        <w:tc>
          <w:tcPr>
            <w:tcW w:w="380" w:type="pct"/>
            <w:vAlign w:val="center"/>
          </w:tcPr>
          <w:p w14:paraId="1E67A704">
            <w:pPr>
              <w:numPr>
                <w:ilvl w:val="255"/>
                <w:numId w:val="0"/>
              </w:numPr>
              <w:autoSpaceDE w:val="0"/>
              <w:autoSpaceDN w:val="0"/>
              <w:snapToGrid w:val="0"/>
              <w:rPr>
                <w:rFonts w:cs="宋体"/>
              </w:rPr>
            </w:pPr>
            <w:r>
              <w:rPr>
                <w:rFonts w:hint="eastAsia" w:cs="宋体"/>
              </w:rPr>
              <w:t>—</w:t>
            </w:r>
          </w:p>
        </w:tc>
        <w:tc>
          <w:tcPr>
            <w:tcW w:w="374" w:type="pct"/>
            <w:tcBorders>
              <w:right w:val="single" w:color="auto" w:sz="8" w:space="0"/>
            </w:tcBorders>
            <w:vAlign w:val="center"/>
          </w:tcPr>
          <w:p w14:paraId="097F11EF">
            <w:pPr>
              <w:numPr>
                <w:ilvl w:val="255"/>
                <w:numId w:val="0"/>
              </w:numPr>
              <w:autoSpaceDE w:val="0"/>
              <w:autoSpaceDN w:val="0"/>
              <w:snapToGrid w:val="0"/>
              <w:rPr>
                <w:rFonts w:cs="宋体"/>
              </w:rPr>
            </w:pPr>
            <w:r>
              <w:rPr>
                <w:rFonts w:hint="eastAsia" w:cs="宋体"/>
              </w:rPr>
              <w:t>—</w:t>
            </w:r>
          </w:p>
        </w:tc>
      </w:tr>
      <w:tr w14:paraId="41A63E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7" w:type="pct"/>
            <w:tcBorders>
              <w:top w:val="single" w:color="auto" w:sz="4" w:space="0"/>
              <w:left w:val="single" w:color="auto" w:sz="8" w:space="0"/>
              <w:bottom w:val="single" w:color="auto" w:sz="4" w:space="0"/>
              <w:tl2br w:val="nil"/>
              <w:tr2bl w:val="nil"/>
            </w:tcBorders>
            <w:vAlign w:val="center"/>
          </w:tcPr>
          <w:p w14:paraId="44A3B9AD">
            <w:pPr>
              <w:numPr>
                <w:ilvl w:val="255"/>
                <w:numId w:val="0"/>
              </w:numPr>
              <w:autoSpaceDE w:val="0"/>
              <w:autoSpaceDN w:val="0"/>
              <w:snapToGrid w:val="0"/>
              <w:rPr>
                <w:rFonts w:cs="宋体"/>
              </w:rPr>
            </w:pPr>
            <w:r>
              <w:rPr>
                <w:rFonts w:hint="eastAsia" w:cs="宋体"/>
                <w:lang w:bidi="ar"/>
              </w:rPr>
              <w:t>1</w:t>
            </w:r>
            <w:r>
              <w:rPr>
                <w:rFonts w:cs="宋体"/>
                <w:lang w:bidi="ar"/>
              </w:rPr>
              <w:t>1</w:t>
            </w:r>
          </w:p>
        </w:tc>
        <w:tc>
          <w:tcPr>
            <w:tcW w:w="1155" w:type="pct"/>
            <w:tcBorders>
              <w:top w:val="single" w:color="auto" w:sz="4" w:space="0"/>
              <w:bottom w:val="single" w:color="auto" w:sz="4" w:space="0"/>
              <w:tl2br w:val="nil"/>
              <w:tr2bl w:val="nil"/>
            </w:tcBorders>
            <w:vAlign w:val="center"/>
          </w:tcPr>
          <w:p w14:paraId="5816EA14">
            <w:pPr>
              <w:numPr>
                <w:ilvl w:val="255"/>
                <w:numId w:val="0"/>
              </w:numPr>
              <w:autoSpaceDE w:val="0"/>
              <w:autoSpaceDN w:val="0"/>
              <w:snapToGrid w:val="0"/>
              <w:rPr>
                <w:rFonts w:cs="宋体"/>
              </w:rPr>
            </w:pPr>
            <w:r>
              <w:rPr>
                <w:rFonts w:hint="eastAsia" w:cs="宋体"/>
              </w:rPr>
              <w:t>冲击</w:t>
            </w:r>
          </w:p>
        </w:tc>
        <w:tc>
          <w:tcPr>
            <w:tcW w:w="986" w:type="pct"/>
            <w:tcBorders>
              <w:top w:val="single" w:color="auto" w:sz="4" w:space="0"/>
              <w:bottom w:val="single" w:color="auto" w:sz="4" w:space="0"/>
              <w:tl2br w:val="nil"/>
              <w:tr2bl w:val="nil"/>
            </w:tcBorders>
            <w:shd w:val="clear" w:color="auto" w:fill="auto"/>
            <w:vAlign w:val="center"/>
          </w:tcPr>
          <w:p w14:paraId="021EDF01">
            <w:pPr>
              <w:rPr>
                <w:rFonts w:cs="宋体"/>
              </w:rPr>
            </w:pPr>
            <w:r>
              <w:rPr>
                <w:rFonts w:hint="eastAsia" w:cs="宋体"/>
              </w:rPr>
              <w:t>TB/T 3112.4—2017</w:t>
            </w:r>
          </w:p>
          <w:p w14:paraId="755DE5C1">
            <w:pPr>
              <w:rPr>
                <w:rFonts w:cs="宋体"/>
              </w:rPr>
            </w:pPr>
            <w:r>
              <w:rPr>
                <w:rFonts w:hint="eastAsia" w:cs="宋体"/>
              </w:rPr>
              <w:t>第</w:t>
            </w:r>
            <w:r>
              <w:rPr>
                <w:rFonts w:cs="宋体"/>
              </w:rPr>
              <w:t>4.14</w:t>
            </w:r>
            <w:r>
              <w:rPr>
                <w:rFonts w:hint="eastAsia" w:cs="宋体"/>
              </w:rPr>
              <w:t>条</w:t>
            </w:r>
          </w:p>
        </w:tc>
        <w:tc>
          <w:tcPr>
            <w:tcW w:w="986" w:type="pct"/>
            <w:tcBorders>
              <w:top w:val="single" w:color="auto" w:sz="4" w:space="0"/>
              <w:bottom w:val="single" w:color="auto" w:sz="4" w:space="0"/>
              <w:tl2br w:val="nil"/>
              <w:tr2bl w:val="nil"/>
            </w:tcBorders>
            <w:shd w:val="clear" w:color="auto" w:fill="auto"/>
            <w:vAlign w:val="center"/>
          </w:tcPr>
          <w:p w14:paraId="2E440664">
            <w:pPr>
              <w:rPr>
                <w:rFonts w:cs="宋体"/>
              </w:rPr>
            </w:pPr>
            <w:r>
              <w:rPr>
                <w:rFonts w:hint="eastAsia" w:cs="宋体"/>
              </w:rPr>
              <w:t>TB/T 3112.4—2017</w:t>
            </w:r>
          </w:p>
          <w:p w14:paraId="02B5FCAE">
            <w:pPr>
              <w:rPr>
                <w:rFonts w:cs="宋体"/>
              </w:rPr>
            </w:pPr>
            <w:r>
              <w:rPr>
                <w:rFonts w:hint="eastAsia" w:cs="宋体"/>
              </w:rPr>
              <w:t>第</w:t>
            </w:r>
            <w:r>
              <w:rPr>
                <w:rFonts w:cs="宋体"/>
              </w:rPr>
              <w:t>5.14</w:t>
            </w:r>
            <w:r>
              <w:rPr>
                <w:rFonts w:hint="eastAsia" w:cs="宋体"/>
              </w:rPr>
              <w:t>条</w:t>
            </w:r>
          </w:p>
        </w:tc>
        <w:tc>
          <w:tcPr>
            <w:tcW w:w="379" w:type="pct"/>
            <w:tcBorders>
              <w:top w:val="single" w:color="auto" w:sz="4" w:space="0"/>
              <w:bottom w:val="single" w:color="auto" w:sz="4" w:space="0"/>
              <w:tl2br w:val="nil"/>
              <w:tr2bl w:val="nil"/>
            </w:tcBorders>
            <w:shd w:val="clear" w:color="auto" w:fill="auto"/>
            <w:vAlign w:val="center"/>
          </w:tcPr>
          <w:p w14:paraId="1AAB443A">
            <w:pPr>
              <w:numPr>
                <w:ilvl w:val="255"/>
                <w:numId w:val="0"/>
              </w:numPr>
              <w:autoSpaceDE w:val="0"/>
              <w:autoSpaceDN w:val="0"/>
              <w:snapToGrid w:val="0"/>
              <w:rPr>
                <w:rFonts w:cs="宋体"/>
              </w:rPr>
            </w:pPr>
            <w:r>
              <w:rPr>
                <w:rFonts w:hint="eastAsia" w:cs="宋体"/>
              </w:rPr>
              <w:t>√</w:t>
            </w:r>
          </w:p>
        </w:tc>
        <w:tc>
          <w:tcPr>
            <w:tcW w:w="378" w:type="pct"/>
            <w:tcBorders>
              <w:top w:val="single" w:color="auto" w:sz="4" w:space="0"/>
              <w:bottom w:val="single" w:color="auto" w:sz="4" w:space="0"/>
              <w:tl2br w:val="nil"/>
              <w:tr2bl w:val="nil"/>
            </w:tcBorders>
            <w:shd w:val="clear" w:color="auto" w:fill="auto"/>
            <w:vAlign w:val="center"/>
          </w:tcPr>
          <w:p w14:paraId="37653493">
            <w:pPr>
              <w:numPr>
                <w:ilvl w:val="255"/>
                <w:numId w:val="0"/>
              </w:numPr>
              <w:autoSpaceDE w:val="0"/>
              <w:autoSpaceDN w:val="0"/>
              <w:snapToGrid w:val="0"/>
              <w:rPr>
                <w:rFonts w:cs="宋体"/>
              </w:rPr>
            </w:pPr>
            <w:r>
              <w:rPr>
                <w:rFonts w:hint="eastAsia" w:cs="宋体"/>
              </w:rPr>
              <w:t>—</w:t>
            </w:r>
          </w:p>
        </w:tc>
        <w:tc>
          <w:tcPr>
            <w:tcW w:w="380" w:type="pct"/>
            <w:tcBorders>
              <w:top w:val="single" w:color="auto" w:sz="4" w:space="0"/>
              <w:bottom w:val="single" w:color="auto" w:sz="4" w:space="0"/>
              <w:tl2br w:val="nil"/>
              <w:tr2bl w:val="nil"/>
            </w:tcBorders>
            <w:shd w:val="clear" w:color="auto" w:fill="auto"/>
            <w:vAlign w:val="center"/>
          </w:tcPr>
          <w:p w14:paraId="409EAB2B">
            <w:pPr>
              <w:numPr>
                <w:ilvl w:val="255"/>
                <w:numId w:val="0"/>
              </w:numPr>
              <w:autoSpaceDE w:val="0"/>
              <w:autoSpaceDN w:val="0"/>
              <w:snapToGrid w:val="0"/>
              <w:rPr>
                <w:rFonts w:cs="宋体"/>
              </w:rPr>
            </w:pPr>
            <w:r>
              <w:rPr>
                <w:rFonts w:hint="eastAsia" w:cs="宋体"/>
              </w:rPr>
              <w:t>—</w:t>
            </w:r>
          </w:p>
        </w:tc>
        <w:tc>
          <w:tcPr>
            <w:tcW w:w="374" w:type="pct"/>
            <w:tcBorders>
              <w:top w:val="single" w:color="auto" w:sz="4" w:space="0"/>
              <w:bottom w:val="single" w:color="auto" w:sz="4" w:space="0"/>
              <w:right w:val="single" w:color="auto" w:sz="8" w:space="0"/>
              <w:tl2br w:val="nil"/>
              <w:tr2bl w:val="nil"/>
            </w:tcBorders>
            <w:shd w:val="clear" w:color="auto" w:fill="auto"/>
            <w:vAlign w:val="center"/>
          </w:tcPr>
          <w:p w14:paraId="22195A34">
            <w:pPr>
              <w:numPr>
                <w:ilvl w:val="255"/>
                <w:numId w:val="0"/>
              </w:numPr>
              <w:autoSpaceDE w:val="0"/>
              <w:autoSpaceDN w:val="0"/>
              <w:snapToGrid w:val="0"/>
              <w:rPr>
                <w:rFonts w:cs="宋体"/>
              </w:rPr>
            </w:pPr>
            <w:r>
              <w:rPr>
                <w:rFonts w:hint="eastAsia" w:cs="宋体"/>
              </w:rPr>
              <w:t>—</w:t>
            </w:r>
          </w:p>
        </w:tc>
      </w:tr>
      <w:tr w14:paraId="65BDCF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7" w:type="pct"/>
            <w:tcBorders>
              <w:top w:val="single" w:color="auto" w:sz="4" w:space="0"/>
              <w:left w:val="single" w:color="auto" w:sz="8" w:space="0"/>
              <w:bottom w:val="single" w:color="auto" w:sz="4" w:space="0"/>
              <w:tl2br w:val="nil"/>
              <w:tr2bl w:val="nil"/>
            </w:tcBorders>
            <w:vAlign w:val="center"/>
          </w:tcPr>
          <w:p w14:paraId="21BC7F40">
            <w:pPr>
              <w:numPr>
                <w:ilvl w:val="255"/>
                <w:numId w:val="0"/>
              </w:numPr>
              <w:autoSpaceDE w:val="0"/>
              <w:autoSpaceDN w:val="0"/>
              <w:snapToGrid w:val="0"/>
              <w:rPr>
                <w:rFonts w:cs="宋体"/>
              </w:rPr>
            </w:pPr>
            <w:r>
              <w:rPr>
                <w:rFonts w:ascii="黑体" w:hAnsi="黑体" w:eastAsia="黑体" w:cs="黑体"/>
              </w:rPr>
              <w:br w:type="page"/>
            </w:r>
            <w:r>
              <w:rPr>
                <w:rFonts w:hint="eastAsia" w:cs="宋体"/>
              </w:rPr>
              <w:t>1</w:t>
            </w:r>
            <w:r>
              <w:rPr>
                <w:rFonts w:cs="宋体"/>
              </w:rPr>
              <w:t>2</w:t>
            </w:r>
          </w:p>
        </w:tc>
        <w:tc>
          <w:tcPr>
            <w:tcW w:w="1155" w:type="pct"/>
            <w:tcBorders>
              <w:top w:val="single" w:color="auto" w:sz="4" w:space="0"/>
              <w:bottom w:val="single" w:color="auto" w:sz="4" w:space="0"/>
              <w:tl2br w:val="nil"/>
              <w:tr2bl w:val="nil"/>
            </w:tcBorders>
            <w:vAlign w:val="center"/>
          </w:tcPr>
          <w:p w14:paraId="576A83E7">
            <w:pPr>
              <w:numPr>
                <w:ilvl w:val="255"/>
                <w:numId w:val="0"/>
              </w:numPr>
              <w:autoSpaceDE w:val="0"/>
              <w:autoSpaceDN w:val="0"/>
              <w:snapToGrid w:val="0"/>
              <w:rPr>
                <w:rFonts w:cs="宋体"/>
              </w:rPr>
            </w:pPr>
            <w:r>
              <w:rPr>
                <w:rFonts w:hint="eastAsia" w:cs="宋体"/>
                <w:lang w:bidi="ar"/>
              </w:rPr>
              <w:t>低气压</w:t>
            </w:r>
          </w:p>
        </w:tc>
        <w:tc>
          <w:tcPr>
            <w:tcW w:w="986" w:type="pct"/>
            <w:tcBorders>
              <w:top w:val="single" w:color="auto" w:sz="4" w:space="0"/>
              <w:bottom w:val="single" w:color="auto" w:sz="4" w:space="0"/>
              <w:tl2br w:val="nil"/>
              <w:tr2bl w:val="nil"/>
            </w:tcBorders>
            <w:shd w:val="clear" w:color="auto" w:fill="auto"/>
            <w:vAlign w:val="center"/>
          </w:tcPr>
          <w:p w14:paraId="2C5323F7">
            <w:pPr>
              <w:rPr>
                <w:rFonts w:cs="宋体"/>
              </w:rPr>
            </w:pPr>
            <w:r>
              <w:rPr>
                <w:rFonts w:hint="eastAsia" w:cs="宋体"/>
              </w:rPr>
              <w:t>TB/T 3112.4—2017</w:t>
            </w:r>
          </w:p>
          <w:p w14:paraId="0C97758D">
            <w:pPr>
              <w:rPr>
                <w:rFonts w:cs="宋体"/>
              </w:rPr>
            </w:pPr>
            <w:r>
              <w:rPr>
                <w:rFonts w:hint="eastAsia" w:cs="宋体"/>
              </w:rPr>
              <w:t>第</w:t>
            </w:r>
            <w:r>
              <w:rPr>
                <w:rFonts w:cs="宋体"/>
              </w:rPr>
              <w:t>4.15</w:t>
            </w:r>
            <w:r>
              <w:rPr>
                <w:rFonts w:hint="eastAsia" w:cs="宋体"/>
              </w:rPr>
              <w:t>条</w:t>
            </w:r>
          </w:p>
        </w:tc>
        <w:tc>
          <w:tcPr>
            <w:tcW w:w="986" w:type="pct"/>
            <w:tcBorders>
              <w:top w:val="single" w:color="auto" w:sz="4" w:space="0"/>
              <w:bottom w:val="single" w:color="auto" w:sz="4" w:space="0"/>
              <w:tl2br w:val="nil"/>
              <w:tr2bl w:val="nil"/>
            </w:tcBorders>
            <w:shd w:val="clear" w:color="auto" w:fill="auto"/>
            <w:vAlign w:val="center"/>
          </w:tcPr>
          <w:p w14:paraId="29856C41">
            <w:pPr>
              <w:rPr>
                <w:rFonts w:cs="宋体"/>
              </w:rPr>
            </w:pPr>
            <w:r>
              <w:rPr>
                <w:rFonts w:hint="eastAsia" w:cs="宋体"/>
              </w:rPr>
              <w:t>TB/T 3112.4—2017</w:t>
            </w:r>
          </w:p>
          <w:p w14:paraId="7E96BEC5">
            <w:pPr>
              <w:rPr>
                <w:rFonts w:cs="宋体"/>
              </w:rPr>
            </w:pPr>
            <w:r>
              <w:rPr>
                <w:rFonts w:hint="eastAsia" w:cs="宋体"/>
              </w:rPr>
              <w:t>第</w:t>
            </w:r>
            <w:r>
              <w:rPr>
                <w:rFonts w:cs="宋体"/>
              </w:rPr>
              <w:t>5.15</w:t>
            </w:r>
            <w:r>
              <w:rPr>
                <w:rFonts w:hint="eastAsia" w:cs="宋体"/>
              </w:rPr>
              <w:t>条</w:t>
            </w:r>
          </w:p>
        </w:tc>
        <w:tc>
          <w:tcPr>
            <w:tcW w:w="379" w:type="pct"/>
            <w:tcBorders>
              <w:top w:val="single" w:color="auto" w:sz="4" w:space="0"/>
              <w:bottom w:val="single" w:color="auto" w:sz="4" w:space="0"/>
              <w:tl2br w:val="nil"/>
              <w:tr2bl w:val="nil"/>
            </w:tcBorders>
            <w:shd w:val="clear" w:color="auto" w:fill="auto"/>
            <w:vAlign w:val="center"/>
          </w:tcPr>
          <w:p w14:paraId="78217E81">
            <w:pPr>
              <w:numPr>
                <w:ilvl w:val="255"/>
                <w:numId w:val="0"/>
              </w:numPr>
              <w:autoSpaceDE w:val="0"/>
              <w:autoSpaceDN w:val="0"/>
              <w:snapToGrid w:val="0"/>
              <w:rPr>
                <w:rFonts w:cs="宋体"/>
              </w:rPr>
            </w:pPr>
            <w:r>
              <w:rPr>
                <w:rFonts w:hint="eastAsia" w:cs="宋体"/>
              </w:rPr>
              <w:t>√</w:t>
            </w:r>
          </w:p>
        </w:tc>
        <w:tc>
          <w:tcPr>
            <w:tcW w:w="378" w:type="pct"/>
            <w:tcBorders>
              <w:top w:val="single" w:color="auto" w:sz="4" w:space="0"/>
              <w:bottom w:val="single" w:color="auto" w:sz="4" w:space="0"/>
              <w:tl2br w:val="nil"/>
              <w:tr2bl w:val="nil"/>
            </w:tcBorders>
            <w:shd w:val="clear" w:color="auto" w:fill="auto"/>
            <w:vAlign w:val="center"/>
          </w:tcPr>
          <w:p w14:paraId="37FF0D48">
            <w:pPr>
              <w:numPr>
                <w:ilvl w:val="255"/>
                <w:numId w:val="0"/>
              </w:numPr>
              <w:autoSpaceDE w:val="0"/>
              <w:autoSpaceDN w:val="0"/>
              <w:snapToGrid w:val="0"/>
              <w:rPr>
                <w:rFonts w:cs="宋体"/>
              </w:rPr>
            </w:pPr>
            <w:r>
              <w:rPr>
                <w:rFonts w:hint="eastAsia" w:cs="宋体"/>
              </w:rPr>
              <w:t>√</w:t>
            </w:r>
          </w:p>
        </w:tc>
        <w:tc>
          <w:tcPr>
            <w:tcW w:w="380" w:type="pct"/>
            <w:tcBorders>
              <w:top w:val="single" w:color="auto" w:sz="4" w:space="0"/>
              <w:bottom w:val="single" w:color="auto" w:sz="4" w:space="0"/>
              <w:tl2br w:val="nil"/>
              <w:tr2bl w:val="nil"/>
            </w:tcBorders>
            <w:shd w:val="clear" w:color="auto" w:fill="auto"/>
            <w:vAlign w:val="center"/>
          </w:tcPr>
          <w:p w14:paraId="4EAD44B8">
            <w:pPr>
              <w:numPr>
                <w:ilvl w:val="255"/>
                <w:numId w:val="0"/>
              </w:numPr>
              <w:autoSpaceDE w:val="0"/>
              <w:autoSpaceDN w:val="0"/>
              <w:snapToGrid w:val="0"/>
              <w:rPr>
                <w:rFonts w:cs="宋体"/>
              </w:rPr>
            </w:pPr>
            <w:r>
              <w:rPr>
                <w:rFonts w:hint="eastAsia" w:cs="宋体"/>
              </w:rPr>
              <w:t>—</w:t>
            </w:r>
          </w:p>
        </w:tc>
        <w:tc>
          <w:tcPr>
            <w:tcW w:w="374" w:type="pct"/>
            <w:tcBorders>
              <w:top w:val="single" w:color="auto" w:sz="4" w:space="0"/>
              <w:bottom w:val="single" w:color="auto" w:sz="4" w:space="0"/>
              <w:right w:val="single" w:color="auto" w:sz="8" w:space="0"/>
              <w:tl2br w:val="nil"/>
              <w:tr2bl w:val="nil"/>
            </w:tcBorders>
            <w:shd w:val="clear" w:color="auto" w:fill="auto"/>
            <w:vAlign w:val="center"/>
          </w:tcPr>
          <w:p w14:paraId="68321E35">
            <w:pPr>
              <w:numPr>
                <w:ilvl w:val="255"/>
                <w:numId w:val="0"/>
              </w:numPr>
              <w:autoSpaceDE w:val="0"/>
              <w:autoSpaceDN w:val="0"/>
              <w:snapToGrid w:val="0"/>
              <w:rPr>
                <w:rFonts w:cs="宋体"/>
              </w:rPr>
            </w:pPr>
            <w:r>
              <w:rPr>
                <w:rFonts w:hint="eastAsia" w:cs="宋体"/>
              </w:rPr>
              <w:t>—</w:t>
            </w:r>
          </w:p>
        </w:tc>
      </w:tr>
      <w:tr w14:paraId="670D2A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7" w:type="pct"/>
            <w:tcBorders>
              <w:top w:val="single" w:color="auto" w:sz="4" w:space="0"/>
              <w:left w:val="single" w:color="auto" w:sz="8" w:space="0"/>
              <w:bottom w:val="single" w:color="auto" w:sz="4" w:space="0"/>
              <w:tl2br w:val="nil"/>
              <w:tr2bl w:val="nil"/>
            </w:tcBorders>
            <w:vAlign w:val="center"/>
          </w:tcPr>
          <w:p w14:paraId="3DCEC2E2">
            <w:pPr>
              <w:numPr>
                <w:ilvl w:val="255"/>
                <w:numId w:val="0"/>
              </w:numPr>
              <w:autoSpaceDE w:val="0"/>
              <w:autoSpaceDN w:val="0"/>
              <w:snapToGrid w:val="0"/>
              <w:rPr>
                <w:rFonts w:cs="宋体"/>
              </w:rPr>
            </w:pPr>
            <w:r>
              <w:rPr>
                <w:rFonts w:hint="eastAsia" w:cs="宋体"/>
              </w:rPr>
              <w:t>1</w:t>
            </w:r>
            <w:r>
              <w:rPr>
                <w:rFonts w:cs="宋体"/>
              </w:rPr>
              <w:t>3</w:t>
            </w:r>
          </w:p>
        </w:tc>
        <w:tc>
          <w:tcPr>
            <w:tcW w:w="1155" w:type="pct"/>
            <w:tcBorders>
              <w:top w:val="single" w:color="auto" w:sz="4" w:space="0"/>
              <w:bottom w:val="single" w:color="auto" w:sz="4" w:space="0"/>
              <w:tl2br w:val="nil"/>
              <w:tr2bl w:val="nil"/>
            </w:tcBorders>
            <w:vAlign w:val="center"/>
          </w:tcPr>
          <w:p w14:paraId="40174054">
            <w:pPr>
              <w:numPr>
                <w:ilvl w:val="255"/>
                <w:numId w:val="0"/>
              </w:numPr>
              <w:autoSpaceDE w:val="0"/>
              <w:autoSpaceDN w:val="0"/>
              <w:snapToGrid w:val="0"/>
              <w:rPr>
                <w:rFonts w:cs="宋体"/>
              </w:rPr>
            </w:pPr>
            <w:r>
              <w:rPr>
                <w:rFonts w:cs="Arial"/>
              </w:rPr>
              <w:t>标志</w:t>
            </w:r>
          </w:p>
        </w:tc>
        <w:tc>
          <w:tcPr>
            <w:tcW w:w="986" w:type="pct"/>
            <w:tcBorders>
              <w:top w:val="single" w:color="auto" w:sz="4" w:space="0"/>
              <w:bottom w:val="single" w:color="auto" w:sz="4" w:space="0"/>
              <w:tl2br w:val="nil"/>
              <w:tr2bl w:val="nil"/>
            </w:tcBorders>
            <w:shd w:val="clear" w:color="auto" w:fill="auto"/>
            <w:vAlign w:val="center"/>
          </w:tcPr>
          <w:p w14:paraId="570BA364">
            <w:pPr>
              <w:rPr>
                <w:rFonts w:cs="宋体"/>
              </w:rPr>
            </w:pPr>
            <w:r>
              <w:rPr>
                <w:rFonts w:hint="eastAsia" w:cs="宋体"/>
              </w:rPr>
              <w:t>TB/T 3112.4—2017</w:t>
            </w:r>
          </w:p>
          <w:p w14:paraId="74881B1A">
            <w:pPr>
              <w:rPr>
                <w:rFonts w:cs="宋体"/>
              </w:rPr>
            </w:pPr>
            <w:r>
              <w:rPr>
                <w:rFonts w:hint="eastAsia" w:cs="宋体"/>
              </w:rPr>
              <w:t>第</w:t>
            </w:r>
            <w:r>
              <w:rPr>
                <w:rFonts w:cs="宋体"/>
              </w:rPr>
              <w:t>7</w:t>
            </w:r>
            <w:r>
              <w:rPr>
                <w:rFonts w:hint="eastAsia" w:cs="宋体"/>
              </w:rPr>
              <w:t>.</w:t>
            </w:r>
            <w:r>
              <w:rPr>
                <w:rFonts w:cs="宋体"/>
              </w:rPr>
              <w:t>1.1</w:t>
            </w:r>
            <w:r>
              <w:rPr>
                <w:rFonts w:hint="eastAsia" w:cs="宋体"/>
              </w:rPr>
              <w:t>条</w:t>
            </w:r>
          </w:p>
        </w:tc>
        <w:tc>
          <w:tcPr>
            <w:tcW w:w="986" w:type="pct"/>
            <w:tcBorders>
              <w:top w:val="single" w:color="auto" w:sz="4" w:space="0"/>
              <w:bottom w:val="single" w:color="auto" w:sz="4" w:space="0"/>
              <w:tl2br w:val="nil"/>
              <w:tr2bl w:val="nil"/>
            </w:tcBorders>
            <w:shd w:val="clear" w:color="auto" w:fill="auto"/>
            <w:vAlign w:val="center"/>
          </w:tcPr>
          <w:p w14:paraId="2484A43E">
            <w:pPr>
              <w:rPr>
                <w:rFonts w:cs="宋体"/>
              </w:rPr>
            </w:pPr>
            <w:r>
              <w:rPr>
                <w:rFonts w:hint="eastAsia" w:cs="宋体"/>
              </w:rPr>
              <w:t>TB/T 3112.4—2017</w:t>
            </w:r>
          </w:p>
          <w:p w14:paraId="0F9D924D">
            <w:pPr>
              <w:rPr>
                <w:rFonts w:cs="宋体"/>
              </w:rPr>
            </w:pPr>
            <w:r>
              <w:rPr>
                <w:rFonts w:hint="eastAsia" w:cs="宋体"/>
              </w:rPr>
              <w:t>第</w:t>
            </w:r>
            <w:r>
              <w:rPr>
                <w:rFonts w:cs="宋体"/>
              </w:rPr>
              <w:t>5.3</w:t>
            </w:r>
            <w:r>
              <w:rPr>
                <w:rFonts w:hint="eastAsia" w:cs="宋体"/>
              </w:rPr>
              <w:t>条</w:t>
            </w:r>
          </w:p>
        </w:tc>
        <w:tc>
          <w:tcPr>
            <w:tcW w:w="379" w:type="pct"/>
            <w:tcBorders>
              <w:top w:val="single" w:color="auto" w:sz="4" w:space="0"/>
              <w:bottom w:val="single" w:color="auto" w:sz="4" w:space="0"/>
              <w:tl2br w:val="nil"/>
              <w:tr2bl w:val="nil"/>
            </w:tcBorders>
            <w:shd w:val="clear" w:color="auto" w:fill="auto"/>
            <w:vAlign w:val="center"/>
          </w:tcPr>
          <w:p w14:paraId="2B025B28">
            <w:pPr>
              <w:numPr>
                <w:ilvl w:val="255"/>
                <w:numId w:val="0"/>
              </w:numPr>
              <w:autoSpaceDE w:val="0"/>
              <w:autoSpaceDN w:val="0"/>
              <w:snapToGrid w:val="0"/>
              <w:rPr>
                <w:rFonts w:cs="宋体"/>
              </w:rPr>
            </w:pPr>
            <w:r>
              <w:rPr>
                <w:rFonts w:hint="eastAsia" w:cs="宋体"/>
              </w:rPr>
              <w:t>√</w:t>
            </w:r>
          </w:p>
        </w:tc>
        <w:tc>
          <w:tcPr>
            <w:tcW w:w="378" w:type="pct"/>
            <w:tcBorders>
              <w:top w:val="single" w:color="auto" w:sz="4" w:space="0"/>
              <w:bottom w:val="single" w:color="auto" w:sz="4" w:space="0"/>
              <w:tl2br w:val="nil"/>
              <w:tr2bl w:val="nil"/>
            </w:tcBorders>
            <w:shd w:val="clear" w:color="auto" w:fill="auto"/>
            <w:vAlign w:val="center"/>
          </w:tcPr>
          <w:p w14:paraId="146FD671">
            <w:pPr>
              <w:numPr>
                <w:ilvl w:val="255"/>
                <w:numId w:val="0"/>
              </w:numPr>
              <w:autoSpaceDE w:val="0"/>
              <w:autoSpaceDN w:val="0"/>
              <w:snapToGrid w:val="0"/>
              <w:rPr>
                <w:rFonts w:cs="宋体"/>
              </w:rPr>
            </w:pPr>
            <w:r>
              <w:rPr>
                <w:rFonts w:hint="eastAsia" w:cs="宋体"/>
              </w:rPr>
              <w:t>—</w:t>
            </w:r>
          </w:p>
        </w:tc>
        <w:tc>
          <w:tcPr>
            <w:tcW w:w="380" w:type="pct"/>
            <w:tcBorders>
              <w:top w:val="single" w:color="auto" w:sz="4" w:space="0"/>
              <w:bottom w:val="single" w:color="auto" w:sz="4" w:space="0"/>
              <w:tl2br w:val="nil"/>
              <w:tr2bl w:val="nil"/>
            </w:tcBorders>
            <w:shd w:val="clear" w:color="auto" w:fill="auto"/>
            <w:vAlign w:val="center"/>
          </w:tcPr>
          <w:p w14:paraId="2182566A">
            <w:pPr>
              <w:numPr>
                <w:ilvl w:val="255"/>
                <w:numId w:val="0"/>
              </w:numPr>
              <w:autoSpaceDE w:val="0"/>
              <w:autoSpaceDN w:val="0"/>
              <w:snapToGrid w:val="0"/>
              <w:rPr>
                <w:rFonts w:cs="宋体"/>
              </w:rPr>
            </w:pPr>
            <w:r>
              <w:rPr>
                <w:rFonts w:hint="eastAsia" w:cs="宋体"/>
              </w:rPr>
              <w:t>√</w:t>
            </w:r>
          </w:p>
        </w:tc>
        <w:tc>
          <w:tcPr>
            <w:tcW w:w="374" w:type="pct"/>
            <w:tcBorders>
              <w:top w:val="single" w:color="auto" w:sz="4" w:space="0"/>
              <w:bottom w:val="single" w:color="auto" w:sz="4" w:space="0"/>
              <w:right w:val="single" w:color="auto" w:sz="8" w:space="0"/>
              <w:tl2br w:val="nil"/>
              <w:tr2bl w:val="nil"/>
            </w:tcBorders>
            <w:shd w:val="clear" w:color="auto" w:fill="auto"/>
            <w:vAlign w:val="center"/>
          </w:tcPr>
          <w:p w14:paraId="2039DE2D">
            <w:pPr>
              <w:numPr>
                <w:ilvl w:val="255"/>
                <w:numId w:val="0"/>
              </w:numPr>
              <w:autoSpaceDE w:val="0"/>
              <w:autoSpaceDN w:val="0"/>
              <w:snapToGrid w:val="0"/>
              <w:rPr>
                <w:rFonts w:cs="宋体"/>
              </w:rPr>
            </w:pPr>
            <w:r>
              <w:rPr>
                <w:rFonts w:hint="eastAsia" w:cs="宋体"/>
              </w:rPr>
              <w:t>—</w:t>
            </w:r>
          </w:p>
        </w:tc>
      </w:tr>
    </w:tbl>
    <w:p w14:paraId="19D1FED2">
      <w:pPr>
        <w:pStyle w:val="54"/>
        <w:spacing w:before="0" w:afterLines="50"/>
        <w:ind w:left="0"/>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28296CBF">
      <w:pPr>
        <w:widowControl/>
        <w:numPr>
          <w:ilvl w:val="2"/>
          <w:numId w:val="1"/>
        </w:numPr>
        <w:spacing w:after="156" w:afterLines="50" w:line="360" w:lineRule="exact"/>
        <w:ind w:left="-1" w:leftChars="-1" w:hanging="1"/>
        <w:jc w:val="both"/>
      </w:pPr>
      <w:r>
        <w:rPr>
          <w:rFonts w:hint="eastAsia" w:cs="宋体"/>
          <w:kern w:val="0"/>
          <w:sz w:val="21"/>
          <w:szCs w:val="21"/>
        </w:rPr>
        <w:t>监督检测是指验证产品持续符合标准要求的检测，一般在两次型式检验之间进行。</w:t>
      </w:r>
    </w:p>
    <w:p w14:paraId="583DA68A">
      <w:pPr>
        <w:pStyle w:val="54"/>
        <w:widowControl w:val="0"/>
        <w:spacing w:before="0" w:afterLines="50"/>
        <w:ind w:left="0"/>
        <w:jc w:val="both"/>
        <w:rPr>
          <w:rFonts w:ascii="Times New Roman" w:eastAsia="宋体"/>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02ADD17">
      <w:pPr>
        <w:pStyle w:val="53"/>
        <w:jc w:val="both"/>
      </w:pPr>
      <w:bookmarkStart w:id="161" w:name="_Toc30249"/>
      <w:r>
        <w:rPr>
          <w:rFonts w:hint="eastAsia"/>
        </w:rPr>
        <w:t>结果判定</w:t>
      </w:r>
      <w:bookmarkEnd w:id="161"/>
    </w:p>
    <w:p w14:paraId="177096D9">
      <w:pPr>
        <w:widowControl/>
        <w:numPr>
          <w:ilvl w:val="2"/>
          <w:numId w:val="1"/>
        </w:numPr>
        <w:spacing w:after="156" w:afterLines="50" w:line="360" w:lineRule="exact"/>
        <w:ind w:left="0"/>
        <w:jc w:val="both"/>
        <w:rPr>
          <w:rFonts w:cs="宋体"/>
          <w:kern w:val="0"/>
          <w:sz w:val="21"/>
          <w:szCs w:val="21"/>
        </w:rPr>
      </w:pPr>
      <w:r>
        <w:rPr>
          <w:rFonts w:cs="宋体"/>
          <w:kern w:val="0"/>
          <w:sz w:val="21"/>
          <w:szCs w:val="21"/>
        </w:rPr>
        <w:t>型式检验时，全部检验项目合格判定检验结论合格，否则为不合格。</w:t>
      </w:r>
    </w:p>
    <w:p w14:paraId="5557ADFD">
      <w:pPr>
        <w:widowControl/>
        <w:numPr>
          <w:ilvl w:val="2"/>
          <w:numId w:val="1"/>
        </w:numPr>
        <w:spacing w:after="156" w:afterLines="50" w:line="360" w:lineRule="exact"/>
        <w:ind w:left="-2" w:leftChars="-1" w:firstLine="1"/>
        <w:jc w:val="both"/>
        <w:rPr>
          <w:rFonts w:cs="宋体"/>
          <w:kern w:val="0"/>
          <w:sz w:val="21"/>
          <w:szCs w:val="21"/>
        </w:rPr>
      </w:pPr>
      <w:r>
        <w:rPr>
          <w:rFonts w:hint="eastAsia" w:cs="宋体"/>
          <w:kern w:val="0"/>
          <w:sz w:val="21"/>
          <w:szCs w:val="21"/>
        </w:rPr>
        <w:t>监督抽查时，检测项目优先从表</w:t>
      </w:r>
      <w:r>
        <w:rPr>
          <w:rFonts w:cs="宋体"/>
          <w:kern w:val="0"/>
          <w:sz w:val="21"/>
          <w:szCs w:val="21"/>
        </w:rPr>
        <w:t>6中“重要性能项目”中选取；所检项目均合格，检验结论为合格，否则为不合格。</w:t>
      </w:r>
    </w:p>
    <w:p w14:paraId="1FBAB4BB">
      <w:pPr>
        <w:widowControl/>
        <w:numPr>
          <w:ilvl w:val="2"/>
          <w:numId w:val="1"/>
        </w:numPr>
        <w:spacing w:after="156" w:afterLines="50" w:line="360" w:lineRule="exact"/>
        <w:ind w:left="-2" w:leftChars="-1"/>
        <w:jc w:val="both"/>
        <w:rPr>
          <w:rFonts w:cs="宋体"/>
          <w:kern w:val="0"/>
          <w:sz w:val="21"/>
          <w:szCs w:val="21"/>
        </w:rPr>
      </w:pPr>
      <w:r>
        <w:rPr>
          <w:rFonts w:hint="eastAsia" w:cs="宋体"/>
          <w:kern w:val="0"/>
          <w:sz w:val="21"/>
          <w:szCs w:val="21"/>
        </w:rPr>
        <w:t>监督检测时，所检项目均合格，检验结论为合格，否则为不合格。</w:t>
      </w:r>
    </w:p>
    <w:p w14:paraId="58B41A09">
      <w:pPr>
        <w:pStyle w:val="53"/>
        <w:jc w:val="both"/>
      </w:pPr>
      <w:bookmarkStart w:id="162" w:name="_Toc3408"/>
      <w:r>
        <w:rPr>
          <w:rFonts w:hint="eastAsia"/>
        </w:rPr>
        <w:t>检验程序</w:t>
      </w:r>
      <w:bookmarkEnd w:id="162"/>
    </w:p>
    <w:p w14:paraId="1057BCA4">
      <w:pPr>
        <w:pStyle w:val="54"/>
        <w:ind w:left="0"/>
        <w:jc w:val="both"/>
        <w:rPr>
          <w:rFonts w:ascii="黑体" w:hAnsi="黑体" w:eastAsia="黑体"/>
        </w:rPr>
      </w:pPr>
      <w:bookmarkStart w:id="163" w:name="_Toc153543642"/>
      <w:r>
        <w:rPr>
          <w:rFonts w:hint="eastAsia" w:ascii="黑体" w:hAnsi="黑体" w:eastAsia="黑体"/>
        </w:rPr>
        <w:t>检验前准备工作</w:t>
      </w:r>
    </w:p>
    <w:p w14:paraId="10EC8C3D">
      <w:pPr>
        <w:pStyle w:val="54"/>
        <w:numPr>
          <w:ilvl w:val="3"/>
          <w:numId w:val="1"/>
        </w:numPr>
        <w:spacing w:before="0" w:afterLines="50"/>
        <w:jc w:val="both"/>
        <w:rPr>
          <w:rFonts w:ascii="宋体" w:hAnsi="宋体" w:eastAsia="宋体"/>
        </w:rPr>
      </w:pPr>
      <w:r>
        <w:rPr>
          <w:rFonts w:hint="eastAsia" w:ascii="宋体" w:hAnsi="宋体"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5DCCBD86">
      <w:pPr>
        <w:pStyle w:val="54"/>
        <w:numPr>
          <w:ilvl w:val="3"/>
          <w:numId w:val="1"/>
        </w:numPr>
        <w:spacing w:before="0" w:afterLines="50"/>
        <w:jc w:val="both"/>
        <w:rPr>
          <w:rFonts w:ascii="宋体" w:hAnsi="宋体" w:eastAsia="宋体"/>
        </w:rPr>
      </w:pPr>
      <w:r>
        <w:rPr>
          <w:rFonts w:hint="eastAsia" w:ascii="宋体" w:hAnsi="宋体" w:eastAsia="宋体"/>
        </w:rPr>
        <w:t>检验人员应按规定的检验方法和检验条件进行检验。产品检验的仪器设备应满足有关规定要求，并在计量检定/校准周期内正常运行。</w:t>
      </w:r>
    </w:p>
    <w:p w14:paraId="128FB4D2">
      <w:pPr>
        <w:pStyle w:val="54"/>
        <w:numPr>
          <w:ilvl w:val="3"/>
          <w:numId w:val="1"/>
        </w:numPr>
        <w:tabs>
          <w:tab w:val="left" w:pos="0"/>
        </w:tabs>
        <w:spacing w:before="0" w:afterLines="50"/>
        <w:jc w:val="both"/>
        <w:rPr>
          <w:rFonts w:ascii="宋体" w:hAnsi="宋体" w:eastAsia="宋体"/>
        </w:rPr>
      </w:pPr>
      <w:r>
        <w:rPr>
          <w:rFonts w:hint="eastAsia" w:ascii="宋体" w:hAnsi="宋体" w:eastAsia="宋体"/>
        </w:rPr>
        <w:t>检验人员如需要使用外部的计量器具或测量仪器，在使用前应查验其计量检定/校准证书，满足要求的计量器具或测量仪器方可使用。</w:t>
      </w:r>
    </w:p>
    <w:p w14:paraId="2E18886C">
      <w:pPr>
        <w:pStyle w:val="54"/>
        <w:numPr>
          <w:ilvl w:val="3"/>
          <w:numId w:val="1"/>
        </w:numPr>
        <w:tabs>
          <w:tab w:val="left" w:pos="0"/>
        </w:tabs>
        <w:spacing w:before="0" w:afterLines="50"/>
        <w:jc w:val="both"/>
        <w:rPr>
          <w:rFonts w:ascii="Times New Roman" w:eastAsia="宋体"/>
        </w:rPr>
      </w:pPr>
      <w:r>
        <w:rPr>
          <w:rFonts w:hint="eastAsia" w:ascii="宋体" w:hAnsi="宋体" w:eastAsia="宋体"/>
        </w:rPr>
        <w:t>样品开始检验前应当经生产企业确认样品良好。</w:t>
      </w:r>
    </w:p>
    <w:p w14:paraId="5D9A0307">
      <w:pPr>
        <w:autoSpaceDE w:val="0"/>
        <w:autoSpaceDN w:val="0"/>
        <w:spacing w:after="160" w:line="360" w:lineRule="exact"/>
        <w:ind w:firstLine="420" w:firstLineChars="200"/>
        <w:jc w:val="both"/>
        <w:rPr>
          <w:rFonts w:ascii="Times New Roman" w:hAnsi="Times New Roman" w:eastAsia="宋体" w:cs="Times New Roman"/>
          <w:sz w:val="21"/>
          <w:lang w:val="en-US" w:eastAsia="zh-CN" w:bidi="ar-SA"/>
        </w:rPr>
      </w:pPr>
      <w:r>
        <w:rPr>
          <w:rFonts w:ascii="Times New Roman" w:hAnsi="Times New Roman" w:eastAsia="宋体" w:cs="Times New Roman"/>
          <w:sz w:val="21"/>
          <w:lang w:val="en-US" w:eastAsia="zh-CN" w:bidi="ar-SA"/>
        </w:rPr>
        <w:t>检验机构收到样品后，应通过拍照或者录像的方式检查记录样品的外观、状态、封条有无破损以及其他可能对检验结论产生影响的情形，并核对样品与抽样文书的记录是否相符。</w:t>
      </w:r>
    </w:p>
    <w:p w14:paraId="6B6FDFD5">
      <w:pPr>
        <w:pStyle w:val="31"/>
      </w:pPr>
      <w:r>
        <w:rPr>
          <w:rFonts w:ascii="Times New Roman" w:hAnsi="Times New Roman" w:eastAsia="宋体" w:cs="Times New Roman"/>
          <w:sz w:val="21"/>
          <w:lang w:val="en-US" w:eastAsia="zh-CN" w:bidi="ar-SA"/>
        </w:rPr>
        <w:t>对于抽样不规范的样品，检验机构应与抽样机构进行核实，经确认后拒绝接收并书面说明理由，同时向组织监督抽查的管理部门进行报告。</w:t>
      </w:r>
    </w:p>
    <w:p w14:paraId="7E36708C">
      <w:pPr>
        <w:pStyle w:val="54"/>
        <w:ind w:left="0"/>
        <w:jc w:val="both"/>
        <w:rPr>
          <w:rFonts w:ascii="黑体" w:hAnsi="黑体" w:eastAsia="黑体"/>
        </w:rPr>
      </w:pPr>
      <w:r>
        <w:rPr>
          <w:rFonts w:hint="eastAsia" w:ascii="黑体" w:hAnsi="黑体" w:eastAsia="黑体"/>
        </w:rPr>
        <w:t>项目检验顺序</w:t>
      </w:r>
    </w:p>
    <w:p w14:paraId="0988987C">
      <w:pPr>
        <w:pStyle w:val="54"/>
        <w:numPr>
          <w:ilvl w:val="3"/>
          <w:numId w:val="1"/>
        </w:numPr>
        <w:tabs>
          <w:tab w:val="left" w:pos="0"/>
        </w:tabs>
        <w:spacing w:before="0" w:after="0"/>
        <w:jc w:val="both"/>
        <w:rPr>
          <w:rFonts w:ascii="宋体" w:hAnsi="宋体" w:eastAsia="宋体"/>
        </w:rPr>
      </w:pPr>
      <w:r>
        <w:rPr>
          <w:rFonts w:hint="eastAsia" w:ascii="宋体" w:hAnsi="宋体" w:eastAsia="宋体"/>
        </w:rPr>
        <w:t>型式检验项目按下列顺序进行：</w:t>
      </w:r>
    </w:p>
    <w:p w14:paraId="086CBE50">
      <w:pPr>
        <w:pStyle w:val="31"/>
        <w:jc w:val="both"/>
        <w:rPr>
          <w:rFonts w:ascii="宋体" w:hAnsi="宋体"/>
        </w:rPr>
      </w:pPr>
      <w:r>
        <w:rPr>
          <w:rFonts w:hint="eastAsia" w:ascii="宋体" w:hAnsi="宋体"/>
        </w:rPr>
        <w:t>样品1、样品2：外观、技术性能、绝缘电阻、绝缘耐压、标志→低温→高温→温升→恒定湿热→振动。</w:t>
      </w:r>
    </w:p>
    <w:p w14:paraId="67371373">
      <w:pPr>
        <w:pStyle w:val="31"/>
        <w:jc w:val="both"/>
        <w:rPr>
          <w:rFonts w:ascii="宋体" w:hAnsi="宋体"/>
        </w:rPr>
      </w:pPr>
      <w:r>
        <w:rPr>
          <w:rFonts w:hint="eastAsia" w:ascii="宋体" w:hAnsi="宋体"/>
        </w:rPr>
        <w:t>样品3、样品</w:t>
      </w:r>
      <w:r>
        <w:rPr>
          <w:rFonts w:ascii="宋体" w:hAnsi="宋体"/>
        </w:rPr>
        <w:t>4</w:t>
      </w:r>
      <w:r>
        <w:rPr>
          <w:rFonts w:hint="eastAsia" w:ascii="宋体" w:hAnsi="宋体"/>
        </w:rPr>
        <w:t>：外观、技术性能、绝缘电阻、绝缘耐压→低气压。</w:t>
      </w:r>
    </w:p>
    <w:p w14:paraId="50C4D969">
      <w:pPr>
        <w:pStyle w:val="31"/>
        <w:jc w:val="both"/>
        <w:rPr>
          <w:rFonts w:ascii="宋体" w:hAnsi="宋体"/>
        </w:rPr>
      </w:pPr>
      <w:r>
        <w:rPr>
          <w:rFonts w:hint="eastAsia" w:ascii="宋体" w:hAnsi="宋体"/>
        </w:rPr>
        <w:t>1箱（带包装）：冲击。</w:t>
      </w:r>
    </w:p>
    <w:p w14:paraId="2AD560F2">
      <w:pPr>
        <w:pStyle w:val="31"/>
        <w:jc w:val="both"/>
        <w:rPr>
          <w:rFonts w:ascii="宋体" w:hAnsi="宋体"/>
        </w:rPr>
      </w:pPr>
      <w:r>
        <w:rPr>
          <w:rFonts w:hint="eastAsia" w:ascii="宋体" w:hAnsi="宋体"/>
        </w:rPr>
        <w:t>阻燃试验件：阻燃。</w:t>
      </w:r>
    </w:p>
    <w:p w14:paraId="56F4E88C">
      <w:pPr>
        <w:pStyle w:val="54"/>
        <w:numPr>
          <w:ilvl w:val="3"/>
          <w:numId w:val="1"/>
        </w:numPr>
        <w:tabs>
          <w:tab w:val="left" w:pos="0"/>
        </w:tabs>
        <w:spacing w:before="0" w:after="0"/>
        <w:jc w:val="both"/>
      </w:pPr>
      <w:r>
        <w:rPr>
          <w:rFonts w:hint="eastAsia" w:ascii="宋体" w:hAnsi="宋体" w:eastAsia="宋体"/>
        </w:rPr>
        <w:t>监</w:t>
      </w:r>
      <w:bookmarkStart w:id="164" w:name="_Hlk184225352"/>
      <w:r>
        <w:rPr>
          <w:rFonts w:hint="eastAsia" w:ascii="宋体" w:hAnsi="宋体" w:eastAsia="宋体"/>
        </w:rPr>
        <w:t>督抽查、监督检测检验项目顺序参照型式检验中对应项目顺序进行</w:t>
      </w:r>
      <w:bookmarkEnd w:id="164"/>
      <w:r>
        <w:rPr>
          <w:rFonts w:hint="eastAsia" w:ascii="宋体" w:hAnsi="宋体" w:eastAsia="宋体"/>
        </w:rPr>
        <w:t>。</w:t>
      </w:r>
    </w:p>
    <w:bookmarkEnd w:id="163"/>
    <w:p w14:paraId="0C8A2B63">
      <w:pPr>
        <w:pStyle w:val="54"/>
        <w:ind w:left="0"/>
        <w:jc w:val="both"/>
        <w:rPr>
          <w:rFonts w:ascii="黑体" w:hAnsi="黑体" w:eastAsia="黑体"/>
        </w:rPr>
      </w:pPr>
      <w:r>
        <w:rPr>
          <w:rFonts w:hint="eastAsia" w:ascii="黑体" w:hAnsi="黑体" w:eastAsia="黑体"/>
        </w:rPr>
        <w:t>检验操作程序</w:t>
      </w:r>
    </w:p>
    <w:p w14:paraId="2BAF375A">
      <w:pPr>
        <w:pStyle w:val="54"/>
        <w:numPr>
          <w:ilvl w:val="3"/>
          <w:numId w:val="1"/>
        </w:numPr>
        <w:tabs>
          <w:tab w:val="left" w:pos="0"/>
        </w:tabs>
        <w:spacing w:before="0" w:afterLines="50"/>
        <w:jc w:val="both"/>
        <w:rPr>
          <w:rFonts w:ascii="宋体" w:hAnsi="宋体" w:eastAsia="宋体"/>
        </w:rPr>
      </w:pPr>
      <w:r>
        <w:rPr>
          <w:rFonts w:hint="eastAsia" w:ascii="宋体" w:hAnsi="宋体" w:eastAsia="宋体"/>
        </w:rPr>
        <w:t>检验操作严格按规范试验方法进行。试验周期较长的检验项目，应当保持对设定值的控制，并注意观察试件安装状况，必要时及时调整。</w:t>
      </w:r>
    </w:p>
    <w:p w14:paraId="7BEB4EFC">
      <w:pPr>
        <w:pStyle w:val="54"/>
        <w:numPr>
          <w:ilvl w:val="3"/>
          <w:numId w:val="1"/>
        </w:numPr>
        <w:tabs>
          <w:tab w:val="left" w:pos="0"/>
        </w:tabs>
        <w:spacing w:before="0" w:afterLines="50"/>
        <w:jc w:val="both"/>
        <w:rPr>
          <w:rFonts w:ascii="Times New Roman"/>
        </w:rPr>
      </w:pPr>
      <w:r>
        <w:rPr>
          <w:rFonts w:hint="eastAsia" w:ascii="宋体" w:hAnsi="宋体" w:eastAsia="宋体"/>
        </w:rPr>
        <w:t>检验过程中，发生停电或检验仪器设备故障等情况，导致测试条件不能满足要求的，待故障排除后，采用备用样品重新进行检测。</w:t>
      </w:r>
    </w:p>
    <w:p w14:paraId="0D420AD8">
      <w:pPr>
        <w:pStyle w:val="54"/>
        <w:numPr>
          <w:ilvl w:val="3"/>
          <w:numId w:val="1"/>
        </w:numPr>
        <w:tabs>
          <w:tab w:val="left" w:pos="0"/>
        </w:tabs>
        <w:spacing w:before="0" w:afterLines="50"/>
        <w:jc w:val="both"/>
        <w:rPr>
          <w:rFonts w:ascii="宋体" w:hAnsi="宋体" w:eastAsia="宋体"/>
        </w:rPr>
      </w:pPr>
      <w:r>
        <w:rPr>
          <w:rFonts w:hint="eastAsia" w:ascii="宋体" w:hAnsi="宋体" w:eastAsia="宋体"/>
        </w:rPr>
        <w:t>检验过程中遇有样品失效或检验仪器设备故障等情况致使检验无法进行时，应如实记录即时情况，并有充分的证实材料。</w:t>
      </w:r>
    </w:p>
    <w:p w14:paraId="39A6A629">
      <w:pPr>
        <w:pStyle w:val="54"/>
        <w:numPr>
          <w:ilvl w:val="3"/>
          <w:numId w:val="1"/>
        </w:numPr>
        <w:tabs>
          <w:tab w:val="left" w:pos="0"/>
        </w:tabs>
        <w:spacing w:before="0" w:afterLines="50"/>
        <w:jc w:val="both"/>
        <w:rPr>
          <w:rFonts w:ascii="Times New Roman" w:eastAsia="宋体"/>
        </w:rPr>
      </w:pPr>
      <w:r>
        <w:rPr>
          <w:rFonts w:hint="eastAsia" w:ascii="宋体" w:hAnsi="宋体" w:eastAsia="宋体"/>
        </w:rPr>
        <w:t>检验过程中检验人员应如实填写检验原始记录，保证真实、准确、清晰，不得随意涂改，并妥善保留备查。检验过程中可采取拍照或录像等方式保存证据。</w:t>
      </w:r>
    </w:p>
    <w:p w14:paraId="49413462">
      <w:pPr>
        <w:pStyle w:val="54"/>
        <w:ind w:left="0"/>
        <w:jc w:val="both"/>
        <w:rPr>
          <w:rFonts w:ascii="黑体" w:hAnsi="黑体" w:eastAsia="黑体"/>
        </w:rPr>
      </w:pPr>
      <w:r>
        <w:rPr>
          <w:rFonts w:hint="eastAsia" w:ascii="黑体" w:hAnsi="黑体" w:eastAsia="黑体"/>
        </w:rPr>
        <w:t>检验结束后的处理</w:t>
      </w:r>
    </w:p>
    <w:p w14:paraId="658363FF">
      <w:pPr>
        <w:pStyle w:val="54"/>
        <w:numPr>
          <w:ilvl w:val="3"/>
          <w:numId w:val="1"/>
        </w:numPr>
        <w:spacing w:before="0" w:afterLines="50"/>
        <w:jc w:val="both"/>
        <w:rPr>
          <w:rFonts w:ascii="Times New Roman"/>
        </w:rPr>
      </w:pPr>
      <w:r>
        <w:rPr>
          <w:rFonts w:hint="eastAsia" w:ascii="Times New Roman" w:eastAsia="宋体"/>
        </w:rPr>
        <w:t>检验结束后应对被检样品状况、仪器设备状态进行认真检查，并作好记录。</w:t>
      </w:r>
    </w:p>
    <w:p w14:paraId="7CA02A04">
      <w:pPr>
        <w:pStyle w:val="54"/>
        <w:numPr>
          <w:ilvl w:val="3"/>
          <w:numId w:val="1"/>
        </w:numPr>
        <w:spacing w:before="0" w:afterLines="50"/>
        <w:jc w:val="both"/>
        <w:rPr>
          <w:rFonts w:ascii="Times New Roman" w:eastAsia="宋体"/>
        </w:rPr>
      </w:pPr>
      <w:r>
        <w:rPr>
          <w:rFonts w:hint="eastAsia" w:ascii="Times New Roman" w:eastAsia="宋体"/>
        </w:rPr>
        <w:t>检验后的样品，应标注样品“已检”状态标识。</w:t>
      </w:r>
      <w:r>
        <w:rPr>
          <w:rFonts w:ascii="Times New Roman" w:hAnsi="Times New Roman" w:eastAsia="宋体"/>
        </w:rPr>
        <w:t>检验结果公布后退还委托单位或企业。</w:t>
      </w:r>
      <w:r>
        <w:rPr>
          <w:rFonts w:hint="eastAsia" w:ascii="Times New Roman" w:eastAsia="宋体"/>
        </w:rPr>
        <w:t xml:space="preserve"> </w:t>
      </w:r>
    </w:p>
    <w:p w14:paraId="2778C960">
      <w:pPr>
        <w:pStyle w:val="53"/>
        <w:jc w:val="both"/>
      </w:pPr>
      <w:bookmarkStart w:id="165" w:name="_Toc18997"/>
      <w:r>
        <w:rPr>
          <w:rFonts w:hint="eastAsia"/>
        </w:rPr>
        <w:t>检验报告</w:t>
      </w:r>
      <w:bookmarkEnd w:id="165"/>
    </w:p>
    <w:p w14:paraId="5FD22D55">
      <w:pPr>
        <w:pStyle w:val="54"/>
        <w:tabs>
          <w:tab w:val="left" w:pos="0"/>
        </w:tabs>
        <w:spacing w:before="0" w:afterLines="50"/>
        <w:ind w:left="0"/>
        <w:rPr>
          <w:rFonts w:ascii="宋体" w:hAnsi="宋体" w:eastAsia="宋体"/>
        </w:rPr>
      </w:pPr>
      <w:r>
        <w:rPr>
          <w:rFonts w:hint="eastAsia" w:ascii="宋体" w:hAnsi="宋体" w:eastAsia="宋体"/>
        </w:rPr>
        <w:t>检验报告应注明生产企业名称、生产地址、依据标准，应进行单项和综合判定、明确检验结论。</w:t>
      </w:r>
    </w:p>
    <w:p w14:paraId="1D21FE55">
      <w:pPr>
        <w:pStyle w:val="54"/>
        <w:tabs>
          <w:tab w:val="left" w:pos="0"/>
        </w:tabs>
        <w:spacing w:before="0" w:afterLines="50"/>
        <w:ind w:left="0"/>
        <w:rPr>
          <w:rFonts w:ascii="宋体" w:hAnsi="宋体" w:eastAsia="宋体"/>
        </w:rPr>
      </w:pPr>
      <w:r>
        <w:rPr>
          <w:rFonts w:hint="eastAsia" w:ascii="宋体" w:hAnsi="宋体" w:eastAsia="宋体"/>
        </w:rPr>
        <w:t>检验报告应注明样品来源</w:t>
      </w:r>
      <w:r>
        <w:rPr>
          <w:rFonts w:ascii="宋体" w:hAnsi="宋体" w:eastAsia="宋体"/>
        </w:rPr>
        <w:t>（</w:t>
      </w:r>
      <w:r>
        <w:rPr>
          <w:rFonts w:hint="eastAsia" w:ascii="宋体" w:hAnsi="宋体" w:eastAsia="宋体"/>
        </w:rPr>
        <w:t>均为抽样</w:t>
      </w:r>
      <w:r>
        <w:rPr>
          <w:rFonts w:ascii="宋体" w:hAnsi="宋体" w:eastAsia="宋体"/>
        </w:rPr>
        <w:t>）、</w:t>
      </w:r>
      <w:r>
        <w:rPr>
          <w:rFonts w:hint="eastAsia" w:ascii="宋体" w:hAnsi="宋体" w:eastAsia="宋体"/>
        </w:rPr>
        <w:t>检验类别</w:t>
      </w:r>
      <w:r>
        <w:rPr>
          <w:rFonts w:ascii="宋体" w:hAnsi="宋体" w:eastAsia="宋体"/>
        </w:rPr>
        <w:t>（</w:t>
      </w:r>
      <w:r>
        <w:rPr>
          <w:rFonts w:hint="eastAsia" w:ascii="宋体" w:hAnsi="宋体" w:eastAsia="宋体"/>
        </w:rPr>
        <w:t>分为行政许可检测、监督抽查检测、认证检测等</w:t>
      </w:r>
      <w:r>
        <w:rPr>
          <w:rFonts w:ascii="宋体" w:hAnsi="宋体" w:eastAsia="宋体"/>
        </w:rPr>
        <w:t>）、</w:t>
      </w:r>
      <w:r>
        <w:rPr>
          <w:rFonts w:hint="eastAsia" w:ascii="宋体" w:hAnsi="宋体" w:eastAsia="宋体"/>
        </w:rPr>
        <w:t>检验性质</w:t>
      </w:r>
      <w:r>
        <w:rPr>
          <w:rFonts w:ascii="宋体" w:hAnsi="宋体" w:eastAsia="宋体"/>
        </w:rPr>
        <w:t>（</w:t>
      </w:r>
      <w:r>
        <w:rPr>
          <w:rFonts w:hint="eastAsia" w:ascii="宋体" w:hAnsi="宋体" w:eastAsia="宋体"/>
        </w:rPr>
        <w:t>分为新产品鉴定试验、型式检验、部分项目试验</w:t>
      </w:r>
      <w:r>
        <w:rPr>
          <w:rFonts w:ascii="宋体" w:hAnsi="宋体" w:eastAsia="宋体"/>
        </w:rPr>
        <w:t>）</w:t>
      </w:r>
      <w:r>
        <w:rPr>
          <w:rFonts w:hint="eastAsia" w:ascii="宋体" w:hAnsi="宋体" w:eastAsia="宋体"/>
        </w:rPr>
        <w:t>。</w:t>
      </w:r>
    </w:p>
    <w:p w14:paraId="3C26BE4C">
      <w:pPr>
        <w:pStyle w:val="54"/>
        <w:tabs>
          <w:tab w:val="left" w:pos="0"/>
        </w:tabs>
        <w:spacing w:before="0" w:afterLines="50"/>
        <w:ind w:left="0"/>
        <w:rPr>
          <w:rFonts w:ascii="宋体" w:hAnsi="宋体" w:eastAsia="宋体"/>
        </w:rPr>
      </w:pPr>
      <w:r>
        <w:rPr>
          <w:rFonts w:hint="eastAsia" w:ascii="宋体" w:hAnsi="宋体" w:eastAsia="宋体"/>
        </w:rPr>
        <w:t>检验报告应注明产品名称、型号、编号、生产日期、抽样日期以及其他必要的产品溯源信息</w:t>
      </w:r>
      <w:r>
        <w:rPr>
          <w:rFonts w:ascii="宋体" w:hAnsi="宋体" w:eastAsia="宋体"/>
        </w:rPr>
        <w:t>。</w:t>
      </w:r>
    </w:p>
    <w:p w14:paraId="238DBE3C">
      <w:pPr>
        <w:pStyle w:val="54"/>
        <w:spacing w:before="0" w:afterLines="50"/>
        <w:ind w:left="0"/>
        <w:rPr>
          <w:rFonts w:ascii="黑体" w:hAnsi="黑体" w:eastAsia="黑体" w:cs="黑体"/>
        </w:rPr>
      </w:pPr>
      <w:r>
        <w:rPr>
          <w:rFonts w:hint="eastAsia" w:ascii="宋体" w:hAnsi="宋体" w:eastAsia="宋体"/>
        </w:rPr>
        <w:t>检验记录的读数值与有效值</w:t>
      </w:r>
      <w:r>
        <w:rPr>
          <w:rFonts w:hint="eastAsia"/>
        </w:rPr>
        <w:t>应满足表</w:t>
      </w:r>
      <w:r>
        <w:t>7</w:t>
      </w:r>
      <w:r>
        <w:rPr>
          <w:rFonts w:hint="eastAsia"/>
        </w:rPr>
        <w:t>的规定。</w:t>
      </w:r>
    </w:p>
    <w:p w14:paraId="22E7C1BC">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7</w:t>
      </w:r>
      <w:r>
        <w:rPr>
          <w:rFonts w:hint="eastAsia" w:ascii="黑体" w:hAnsi="黑体" w:eastAsia="黑体" w:cs="黑体"/>
        </w:rPr>
        <w:t xml:space="preserve">  检验记录的读数值与有效值</w:t>
      </w:r>
    </w:p>
    <w:tbl>
      <w:tblPr>
        <w:tblStyle w:val="25"/>
        <w:tblW w:w="956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68"/>
        <w:gridCol w:w="3210"/>
        <w:gridCol w:w="2463"/>
        <w:gridCol w:w="2177"/>
        <w:gridCol w:w="1151"/>
      </w:tblGrid>
      <w:tr w14:paraId="1060D1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68" w:type="dxa"/>
            <w:vMerge w:val="restart"/>
            <w:tcBorders>
              <w:top w:val="single" w:color="auto" w:sz="8" w:space="0"/>
              <w:left w:val="single" w:color="auto" w:sz="8" w:space="0"/>
            </w:tcBorders>
            <w:vAlign w:val="center"/>
          </w:tcPr>
          <w:p w14:paraId="300018DF">
            <w:bookmarkStart w:id="166" w:name="_Toc153543191"/>
            <w:bookmarkEnd w:id="166"/>
            <w:bookmarkStart w:id="167" w:name="_Toc153543194"/>
            <w:bookmarkEnd w:id="167"/>
            <w:bookmarkStart w:id="168" w:name="_Toc153543189"/>
            <w:bookmarkEnd w:id="168"/>
            <w:bookmarkStart w:id="169" w:name="_Toc153543188"/>
            <w:bookmarkEnd w:id="169"/>
            <w:bookmarkStart w:id="170" w:name="_Toc153543193"/>
            <w:bookmarkEnd w:id="170"/>
            <w:bookmarkStart w:id="171" w:name="_Toc153543195"/>
            <w:bookmarkEnd w:id="171"/>
            <w:bookmarkStart w:id="172" w:name="_Toc153543190"/>
            <w:bookmarkEnd w:id="172"/>
            <w:bookmarkStart w:id="173" w:name="_Toc153543192"/>
            <w:bookmarkEnd w:id="173"/>
            <w:bookmarkStart w:id="174" w:name="_Hlk176160921"/>
            <w:r>
              <w:t>序号</w:t>
            </w:r>
          </w:p>
        </w:tc>
        <w:tc>
          <w:tcPr>
            <w:tcW w:w="3210" w:type="dxa"/>
            <w:vMerge w:val="restart"/>
            <w:tcBorders>
              <w:top w:val="single" w:color="auto" w:sz="8" w:space="0"/>
            </w:tcBorders>
            <w:vAlign w:val="center"/>
          </w:tcPr>
          <w:p w14:paraId="0EC6F91C">
            <w:r>
              <w:rPr>
                <w:rFonts w:hint="eastAsia"/>
              </w:rPr>
              <w:t>检验项目</w:t>
            </w:r>
          </w:p>
        </w:tc>
        <w:tc>
          <w:tcPr>
            <w:tcW w:w="2463" w:type="dxa"/>
            <w:vMerge w:val="restart"/>
            <w:tcBorders>
              <w:top w:val="single" w:color="auto" w:sz="8" w:space="0"/>
            </w:tcBorders>
            <w:vAlign w:val="center"/>
          </w:tcPr>
          <w:p w14:paraId="024F4F56">
            <w:r>
              <w:rPr>
                <w:rFonts w:hint="eastAsia"/>
              </w:rPr>
              <w:t>读数值位数</w:t>
            </w:r>
          </w:p>
        </w:tc>
        <w:tc>
          <w:tcPr>
            <w:tcW w:w="3328" w:type="dxa"/>
            <w:gridSpan w:val="2"/>
            <w:tcBorders>
              <w:top w:val="single" w:color="auto" w:sz="8" w:space="0"/>
              <w:right w:val="single" w:color="auto" w:sz="8" w:space="0"/>
            </w:tcBorders>
            <w:vAlign w:val="center"/>
          </w:tcPr>
          <w:p w14:paraId="37A35781">
            <w:r>
              <w:rPr>
                <w:rFonts w:hint="eastAsia"/>
              </w:rPr>
              <w:t>检验结果</w:t>
            </w:r>
          </w:p>
        </w:tc>
      </w:tr>
      <w:tr w14:paraId="6B47D7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68" w:type="dxa"/>
            <w:vMerge w:val="continue"/>
            <w:tcBorders>
              <w:left w:val="single" w:color="auto" w:sz="8" w:space="0"/>
              <w:bottom w:val="single" w:color="auto" w:sz="8" w:space="0"/>
            </w:tcBorders>
            <w:vAlign w:val="center"/>
          </w:tcPr>
          <w:p w14:paraId="6D5A793A"/>
        </w:tc>
        <w:tc>
          <w:tcPr>
            <w:tcW w:w="3210" w:type="dxa"/>
            <w:vMerge w:val="continue"/>
            <w:tcBorders>
              <w:bottom w:val="single" w:color="auto" w:sz="8" w:space="0"/>
            </w:tcBorders>
            <w:vAlign w:val="center"/>
          </w:tcPr>
          <w:p w14:paraId="42E989CD"/>
        </w:tc>
        <w:tc>
          <w:tcPr>
            <w:tcW w:w="2463" w:type="dxa"/>
            <w:vMerge w:val="continue"/>
            <w:tcBorders>
              <w:bottom w:val="single" w:color="auto" w:sz="8" w:space="0"/>
            </w:tcBorders>
            <w:vAlign w:val="center"/>
          </w:tcPr>
          <w:p w14:paraId="14584E53"/>
        </w:tc>
        <w:tc>
          <w:tcPr>
            <w:tcW w:w="2177" w:type="dxa"/>
            <w:tcBorders>
              <w:bottom w:val="single" w:color="auto" w:sz="8" w:space="0"/>
            </w:tcBorders>
            <w:shd w:val="clear" w:color="auto" w:fill="auto"/>
            <w:vAlign w:val="center"/>
          </w:tcPr>
          <w:p w14:paraId="1AC17942">
            <w:r>
              <w:rPr>
                <w:rFonts w:hint="eastAsia"/>
              </w:rPr>
              <w:t>有效值位数</w:t>
            </w:r>
          </w:p>
        </w:tc>
        <w:tc>
          <w:tcPr>
            <w:tcW w:w="1151" w:type="dxa"/>
            <w:tcBorders>
              <w:bottom w:val="single" w:color="auto" w:sz="8" w:space="0"/>
              <w:right w:val="single" w:color="auto" w:sz="8" w:space="0"/>
            </w:tcBorders>
            <w:shd w:val="clear" w:color="auto" w:fill="auto"/>
            <w:vAlign w:val="center"/>
          </w:tcPr>
          <w:p w14:paraId="0B5587CF">
            <w:r>
              <w:rPr>
                <w:rFonts w:hint="eastAsia"/>
              </w:rPr>
              <w:t>单位</w:t>
            </w:r>
          </w:p>
        </w:tc>
      </w:tr>
      <w:tr w14:paraId="7F949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8" w:space="0"/>
              <w:left w:val="single" w:color="auto" w:sz="8" w:space="0"/>
              <w:bottom w:val="single" w:color="auto" w:sz="4" w:space="0"/>
              <w:tl2br w:val="nil"/>
              <w:tr2bl w:val="nil"/>
            </w:tcBorders>
            <w:vAlign w:val="center"/>
          </w:tcPr>
          <w:p w14:paraId="3E2FD2BB">
            <w:r>
              <w:rPr>
                <w:rFonts w:hint="eastAsia" w:cstheme="minorEastAsia"/>
                <w:bCs/>
              </w:rPr>
              <w:t>1</w:t>
            </w:r>
          </w:p>
        </w:tc>
        <w:tc>
          <w:tcPr>
            <w:tcW w:w="3210" w:type="dxa"/>
            <w:tcBorders>
              <w:top w:val="single" w:color="auto" w:sz="8" w:space="0"/>
              <w:bottom w:val="single" w:color="auto" w:sz="4" w:space="0"/>
              <w:tl2br w:val="nil"/>
              <w:tr2bl w:val="nil"/>
            </w:tcBorders>
            <w:shd w:val="clear" w:color="auto" w:fill="auto"/>
            <w:vAlign w:val="center"/>
          </w:tcPr>
          <w:p w14:paraId="3DDA99F7">
            <w:r>
              <w:rPr>
                <w:rFonts w:hint="eastAsia"/>
              </w:rPr>
              <w:t>外形尺寸</w:t>
            </w:r>
          </w:p>
        </w:tc>
        <w:tc>
          <w:tcPr>
            <w:tcW w:w="2463" w:type="dxa"/>
            <w:tcBorders>
              <w:top w:val="single" w:color="auto" w:sz="8" w:space="0"/>
              <w:bottom w:val="single" w:color="auto" w:sz="4" w:space="0"/>
              <w:tl2br w:val="nil"/>
              <w:tr2bl w:val="nil"/>
            </w:tcBorders>
            <w:shd w:val="clear" w:color="auto" w:fill="auto"/>
            <w:vAlign w:val="center"/>
          </w:tcPr>
          <w:p w14:paraId="7F0E6215">
            <w:r>
              <w:rPr>
                <w:rFonts w:hint="eastAsia" w:cstheme="minorEastAsia"/>
                <w:bCs/>
              </w:rPr>
              <w:t>□.□□</w:t>
            </w:r>
          </w:p>
        </w:tc>
        <w:tc>
          <w:tcPr>
            <w:tcW w:w="2177" w:type="dxa"/>
            <w:tcBorders>
              <w:top w:val="single" w:color="auto" w:sz="8" w:space="0"/>
              <w:bottom w:val="single" w:color="auto" w:sz="4" w:space="0"/>
              <w:tl2br w:val="nil"/>
              <w:tr2bl w:val="nil"/>
            </w:tcBorders>
            <w:shd w:val="clear" w:color="auto" w:fill="auto"/>
            <w:vAlign w:val="center"/>
          </w:tcPr>
          <w:p w14:paraId="65D5C633">
            <w:r>
              <w:rPr>
                <w:rFonts w:hint="eastAsia" w:cstheme="minorEastAsia"/>
                <w:bCs/>
              </w:rPr>
              <w:t>□.□</w:t>
            </w:r>
          </w:p>
        </w:tc>
        <w:tc>
          <w:tcPr>
            <w:tcW w:w="1151" w:type="dxa"/>
            <w:tcBorders>
              <w:top w:val="single" w:color="auto" w:sz="8" w:space="0"/>
              <w:bottom w:val="single" w:color="auto" w:sz="4" w:space="0"/>
              <w:right w:val="single" w:color="auto" w:sz="8" w:space="0"/>
              <w:tl2br w:val="nil"/>
              <w:tr2bl w:val="nil"/>
            </w:tcBorders>
            <w:shd w:val="clear" w:color="auto" w:fill="auto"/>
            <w:vAlign w:val="center"/>
          </w:tcPr>
          <w:p w14:paraId="5521750F">
            <w:r>
              <w:rPr>
                <w:rFonts w:hint="eastAsia" w:cstheme="minorEastAsia"/>
                <w:bCs/>
              </w:rPr>
              <w:t>mm</w:t>
            </w:r>
          </w:p>
        </w:tc>
      </w:tr>
      <w:bookmarkEnd w:id="174"/>
      <w:tr w14:paraId="66F141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7C4D7D7D">
            <w:r>
              <w:rPr>
                <w:rFonts w:cstheme="minorEastAsia"/>
                <w:bCs/>
              </w:rPr>
              <w:t>2</w:t>
            </w:r>
          </w:p>
        </w:tc>
        <w:tc>
          <w:tcPr>
            <w:tcW w:w="3210" w:type="dxa"/>
            <w:tcBorders>
              <w:top w:val="single" w:color="auto" w:sz="4" w:space="0"/>
              <w:bottom w:val="single" w:color="auto" w:sz="4" w:space="0"/>
              <w:tl2br w:val="nil"/>
              <w:tr2bl w:val="nil"/>
            </w:tcBorders>
            <w:shd w:val="clear" w:color="auto" w:fill="auto"/>
            <w:vAlign w:val="center"/>
          </w:tcPr>
          <w:p w14:paraId="43D42E94">
            <w:r>
              <w:rPr>
                <w:rFonts w:hint="eastAsia"/>
              </w:rPr>
              <w:t>电阻值</w:t>
            </w:r>
          </w:p>
        </w:tc>
        <w:tc>
          <w:tcPr>
            <w:tcW w:w="2463" w:type="dxa"/>
            <w:tcBorders>
              <w:top w:val="single" w:color="auto" w:sz="4" w:space="0"/>
              <w:tl2br w:val="nil"/>
              <w:tr2bl w:val="nil"/>
            </w:tcBorders>
            <w:shd w:val="clear" w:color="auto" w:fill="auto"/>
            <w:vAlign w:val="center"/>
          </w:tcPr>
          <w:p w14:paraId="3E0BBB82">
            <w:r>
              <w:rPr>
                <w:rFonts w:hint="eastAsia" w:cstheme="minorEastAsia"/>
                <w:bCs/>
              </w:rPr>
              <w:t>□.□□</w:t>
            </w:r>
          </w:p>
        </w:tc>
        <w:tc>
          <w:tcPr>
            <w:tcW w:w="2177" w:type="dxa"/>
            <w:tcBorders>
              <w:top w:val="single" w:color="auto" w:sz="4" w:space="0"/>
              <w:tl2br w:val="nil"/>
              <w:tr2bl w:val="nil"/>
            </w:tcBorders>
            <w:shd w:val="clear" w:color="auto" w:fill="auto"/>
            <w:vAlign w:val="center"/>
          </w:tcPr>
          <w:p w14:paraId="6325389A">
            <w:r>
              <w:rPr>
                <w:rFonts w:hint="eastAsia" w:cstheme="minorEastAsia"/>
                <w:bCs/>
              </w:rPr>
              <w:t>□.□</w:t>
            </w:r>
          </w:p>
        </w:tc>
        <w:tc>
          <w:tcPr>
            <w:tcW w:w="1151" w:type="dxa"/>
            <w:tcBorders>
              <w:top w:val="single" w:color="auto" w:sz="4" w:space="0"/>
              <w:right w:val="single" w:color="auto" w:sz="8" w:space="0"/>
              <w:tl2br w:val="nil"/>
              <w:tr2bl w:val="nil"/>
            </w:tcBorders>
            <w:shd w:val="clear" w:color="auto" w:fill="auto"/>
            <w:vAlign w:val="center"/>
          </w:tcPr>
          <w:p w14:paraId="25F945A3">
            <w:r>
              <w:rPr>
                <w:rFonts w:hint="eastAsia"/>
              </w:rPr>
              <w:t>Ω</w:t>
            </w:r>
          </w:p>
        </w:tc>
      </w:tr>
      <w:tr w14:paraId="365A41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left w:val="single" w:color="auto" w:sz="8" w:space="0"/>
              <w:bottom w:val="single" w:color="auto" w:sz="4" w:space="0"/>
              <w:tl2br w:val="nil"/>
              <w:tr2bl w:val="nil"/>
            </w:tcBorders>
            <w:vAlign w:val="center"/>
          </w:tcPr>
          <w:p w14:paraId="6E40E0F8">
            <w:pPr>
              <w:rPr>
                <w:rFonts w:cstheme="minorEastAsia"/>
                <w:bCs/>
              </w:rPr>
            </w:pPr>
            <w:r>
              <w:rPr>
                <w:rFonts w:cstheme="minorEastAsia"/>
                <w:bCs/>
              </w:rPr>
              <w:t>3</w:t>
            </w:r>
          </w:p>
        </w:tc>
        <w:tc>
          <w:tcPr>
            <w:tcW w:w="3210" w:type="dxa"/>
            <w:tcBorders>
              <w:top w:val="single" w:color="auto" w:sz="4" w:space="0"/>
              <w:bottom w:val="single" w:color="auto" w:sz="4" w:space="0"/>
              <w:tl2br w:val="nil"/>
              <w:tr2bl w:val="nil"/>
            </w:tcBorders>
            <w:shd w:val="clear" w:color="auto" w:fill="auto"/>
            <w:vAlign w:val="center"/>
          </w:tcPr>
          <w:p w14:paraId="4A03722B">
            <w:r>
              <w:rPr>
                <w:rFonts w:hint="eastAsia"/>
              </w:rPr>
              <w:t>容值</w:t>
            </w:r>
          </w:p>
        </w:tc>
        <w:tc>
          <w:tcPr>
            <w:tcW w:w="2463" w:type="dxa"/>
            <w:tcBorders>
              <w:bottom w:val="single" w:color="auto" w:sz="4" w:space="0"/>
              <w:tl2br w:val="nil"/>
              <w:tr2bl w:val="nil"/>
            </w:tcBorders>
            <w:shd w:val="clear" w:color="auto" w:fill="auto"/>
            <w:vAlign w:val="center"/>
          </w:tcPr>
          <w:p w14:paraId="013FC101">
            <w:pPr>
              <w:rPr>
                <w:rFonts w:cstheme="minorEastAsia"/>
                <w:bCs/>
              </w:rPr>
            </w:pPr>
            <w:r>
              <w:rPr>
                <w:rFonts w:hint="eastAsia" w:cstheme="minorEastAsia"/>
                <w:bCs/>
              </w:rPr>
              <w:t>□.□□□</w:t>
            </w:r>
          </w:p>
        </w:tc>
        <w:tc>
          <w:tcPr>
            <w:tcW w:w="2177" w:type="dxa"/>
            <w:tcBorders>
              <w:bottom w:val="single" w:color="auto" w:sz="4" w:space="0"/>
              <w:tl2br w:val="nil"/>
              <w:tr2bl w:val="nil"/>
            </w:tcBorders>
            <w:shd w:val="clear" w:color="auto" w:fill="auto"/>
            <w:vAlign w:val="center"/>
          </w:tcPr>
          <w:p w14:paraId="05DBEDA0">
            <w:pPr>
              <w:rPr>
                <w:rFonts w:cstheme="minorEastAsia"/>
                <w:bCs/>
              </w:rPr>
            </w:pPr>
            <w:r>
              <w:rPr>
                <w:rFonts w:hint="eastAsia" w:cstheme="minorEastAsia"/>
                <w:bCs/>
              </w:rPr>
              <w:t>□.□□</w:t>
            </w:r>
          </w:p>
        </w:tc>
        <w:tc>
          <w:tcPr>
            <w:tcW w:w="1151" w:type="dxa"/>
            <w:tcBorders>
              <w:bottom w:val="single" w:color="auto" w:sz="4" w:space="0"/>
              <w:right w:val="single" w:color="auto" w:sz="8" w:space="0"/>
              <w:tl2br w:val="nil"/>
              <w:tr2bl w:val="nil"/>
            </w:tcBorders>
            <w:shd w:val="clear" w:color="auto" w:fill="auto"/>
            <w:vAlign w:val="center"/>
          </w:tcPr>
          <w:p w14:paraId="6137D7AF">
            <w:pPr>
              <w:rPr>
                <w:rFonts w:cstheme="minorEastAsia"/>
                <w:bCs/>
              </w:rPr>
            </w:pPr>
            <w:r>
              <w:rPr>
                <w:rFonts w:hint="eastAsia" w:cstheme="minorEastAsia"/>
                <w:bCs/>
              </w:rPr>
              <w:t>μ</w:t>
            </w:r>
            <w:r>
              <w:rPr>
                <w:rFonts w:cstheme="minorEastAsia"/>
                <w:bCs/>
              </w:rPr>
              <w:t>F</w:t>
            </w:r>
          </w:p>
        </w:tc>
      </w:tr>
      <w:tr w14:paraId="3F7DBE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7EB470F6">
            <w:pPr>
              <w:rPr>
                <w:rFonts w:cstheme="minorEastAsia"/>
                <w:bCs/>
              </w:rPr>
            </w:pPr>
            <w:r>
              <w:rPr>
                <w:rFonts w:cstheme="minorEastAsia"/>
                <w:bCs/>
              </w:rPr>
              <w:t>4</w:t>
            </w:r>
          </w:p>
        </w:tc>
        <w:tc>
          <w:tcPr>
            <w:tcW w:w="3210" w:type="dxa"/>
            <w:tcBorders>
              <w:top w:val="single" w:color="auto" w:sz="4" w:space="0"/>
              <w:bottom w:val="single" w:color="auto" w:sz="4" w:space="0"/>
              <w:tl2br w:val="nil"/>
              <w:tr2bl w:val="nil"/>
            </w:tcBorders>
            <w:shd w:val="clear" w:color="auto" w:fill="auto"/>
            <w:vAlign w:val="center"/>
          </w:tcPr>
          <w:p w14:paraId="6B5E95BC">
            <w:r>
              <w:rPr>
                <w:rFonts w:hint="eastAsia"/>
              </w:rPr>
              <w:t>极间绝缘电阻</w:t>
            </w:r>
          </w:p>
        </w:tc>
        <w:tc>
          <w:tcPr>
            <w:tcW w:w="2463" w:type="dxa"/>
            <w:tcBorders>
              <w:top w:val="single" w:color="auto" w:sz="4" w:space="0"/>
              <w:tl2br w:val="nil"/>
              <w:tr2bl w:val="nil"/>
            </w:tcBorders>
            <w:shd w:val="clear" w:color="auto" w:fill="auto"/>
            <w:vAlign w:val="center"/>
          </w:tcPr>
          <w:p w14:paraId="26A33D9E">
            <w:pPr>
              <w:rPr>
                <w:rFonts w:cstheme="minorEastAsia"/>
                <w:bCs/>
              </w:rPr>
            </w:pPr>
            <w:r>
              <w:rPr>
                <w:rFonts w:hint="eastAsia" w:cstheme="minorEastAsia"/>
                <w:bCs/>
              </w:rPr>
              <w:t>□.□</w:t>
            </w:r>
          </w:p>
        </w:tc>
        <w:tc>
          <w:tcPr>
            <w:tcW w:w="2177" w:type="dxa"/>
            <w:tcBorders>
              <w:top w:val="single" w:color="auto" w:sz="4" w:space="0"/>
              <w:tl2br w:val="nil"/>
              <w:tr2bl w:val="nil"/>
            </w:tcBorders>
            <w:shd w:val="clear" w:color="auto" w:fill="auto"/>
            <w:vAlign w:val="center"/>
          </w:tcPr>
          <w:p w14:paraId="5F7F94AA">
            <w:pPr>
              <w:rPr>
                <w:rFonts w:cstheme="minorEastAsia"/>
                <w:bCs/>
              </w:rPr>
            </w:pPr>
            <w:r>
              <w:rPr>
                <w:rFonts w:hint="eastAsia" w:cstheme="minorEastAsia"/>
                <w:bCs/>
              </w:rPr>
              <w:t>□.□</w:t>
            </w:r>
          </w:p>
        </w:tc>
        <w:tc>
          <w:tcPr>
            <w:tcW w:w="1151" w:type="dxa"/>
            <w:tcBorders>
              <w:top w:val="single" w:color="auto" w:sz="4" w:space="0"/>
              <w:right w:val="single" w:color="auto" w:sz="8" w:space="0"/>
              <w:tl2br w:val="nil"/>
              <w:tr2bl w:val="nil"/>
            </w:tcBorders>
            <w:shd w:val="clear" w:color="auto" w:fill="auto"/>
            <w:vAlign w:val="center"/>
          </w:tcPr>
          <w:p w14:paraId="3C77156D">
            <w:pPr>
              <w:rPr>
                <w:rFonts w:cstheme="minorEastAsia"/>
                <w:bCs/>
              </w:rPr>
            </w:pPr>
            <w:r>
              <w:rPr>
                <w:rFonts w:hint="eastAsia" w:cstheme="minorEastAsia"/>
                <w:bCs/>
              </w:rPr>
              <w:t>MΩ</w:t>
            </w:r>
          </w:p>
        </w:tc>
      </w:tr>
      <w:tr w14:paraId="3DED7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left w:val="single" w:color="auto" w:sz="8" w:space="0"/>
              <w:bottom w:val="single" w:color="auto" w:sz="4" w:space="0"/>
              <w:tl2br w:val="nil"/>
              <w:tr2bl w:val="nil"/>
            </w:tcBorders>
            <w:vAlign w:val="center"/>
          </w:tcPr>
          <w:p w14:paraId="11CDCF01">
            <w:pPr>
              <w:rPr>
                <w:rFonts w:cstheme="minorEastAsia"/>
                <w:bCs/>
              </w:rPr>
            </w:pPr>
            <w:r>
              <w:rPr>
                <w:rFonts w:cstheme="minorEastAsia"/>
                <w:bCs/>
              </w:rPr>
              <w:t>5</w:t>
            </w:r>
          </w:p>
        </w:tc>
        <w:tc>
          <w:tcPr>
            <w:tcW w:w="3210" w:type="dxa"/>
            <w:tcBorders>
              <w:top w:val="single" w:color="auto" w:sz="4" w:space="0"/>
              <w:bottom w:val="single" w:color="auto" w:sz="4" w:space="0"/>
              <w:tl2br w:val="nil"/>
              <w:tr2bl w:val="nil"/>
            </w:tcBorders>
            <w:shd w:val="clear" w:color="auto" w:fill="auto"/>
            <w:vAlign w:val="center"/>
          </w:tcPr>
          <w:p w14:paraId="1F8B1635">
            <w:r>
              <w:rPr>
                <w:rFonts w:hint="eastAsia" w:cs="Arial"/>
              </w:rPr>
              <w:t>绝缘电阻</w:t>
            </w:r>
          </w:p>
        </w:tc>
        <w:tc>
          <w:tcPr>
            <w:tcW w:w="2463" w:type="dxa"/>
            <w:tcBorders>
              <w:bottom w:val="single" w:color="auto" w:sz="4" w:space="0"/>
              <w:tl2br w:val="nil"/>
              <w:tr2bl w:val="nil"/>
            </w:tcBorders>
            <w:shd w:val="clear" w:color="auto" w:fill="auto"/>
            <w:vAlign w:val="center"/>
          </w:tcPr>
          <w:p w14:paraId="35DFB59D">
            <w:pPr>
              <w:rPr>
                <w:rFonts w:cstheme="minorEastAsia"/>
                <w:bCs/>
              </w:rPr>
            </w:pPr>
            <w:r>
              <w:rPr>
                <w:rFonts w:hint="eastAsia" w:cstheme="minorEastAsia"/>
                <w:bCs/>
              </w:rPr>
              <w:t>□.□□</w:t>
            </w:r>
          </w:p>
        </w:tc>
        <w:tc>
          <w:tcPr>
            <w:tcW w:w="2177" w:type="dxa"/>
            <w:tcBorders>
              <w:bottom w:val="single" w:color="auto" w:sz="4" w:space="0"/>
              <w:tl2br w:val="nil"/>
              <w:tr2bl w:val="nil"/>
            </w:tcBorders>
            <w:shd w:val="clear" w:color="auto" w:fill="auto"/>
            <w:vAlign w:val="center"/>
          </w:tcPr>
          <w:p w14:paraId="62471103">
            <w:pPr>
              <w:rPr>
                <w:rFonts w:cstheme="minorEastAsia"/>
                <w:bCs/>
              </w:rPr>
            </w:pPr>
            <w:r>
              <w:rPr>
                <w:rFonts w:hint="eastAsia" w:cstheme="minorEastAsia"/>
                <w:bCs/>
              </w:rPr>
              <w:t>□.□□</w:t>
            </w:r>
          </w:p>
        </w:tc>
        <w:tc>
          <w:tcPr>
            <w:tcW w:w="1151" w:type="dxa"/>
            <w:tcBorders>
              <w:bottom w:val="single" w:color="auto" w:sz="4" w:space="0"/>
              <w:right w:val="single" w:color="auto" w:sz="8" w:space="0"/>
              <w:tl2br w:val="nil"/>
              <w:tr2bl w:val="nil"/>
            </w:tcBorders>
            <w:shd w:val="clear" w:color="auto" w:fill="auto"/>
            <w:vAlign w:val="center"/>
          </w:tcPr>
          <w:p w14:paraId="5B649D25">
            <w:pPr>
              <w:rPr>
                <w:rFonts w:cstheme="minorEastAsia"/>
                <w:bCs/>
              </w:rPr>
            </w:pPr>
            <w:r>
              <w:rPr>
                <w:rFonts w:hint="eastAsia" w:cstheme="minorEastAsia"/>
                <w:bCs/>
              </w:rPr>
              <w:t>MΩ</w:t>
            </w:r>
          </w:p>
        </w:tc>
      </w:tr>
    </w:tbl>
    <w:p w14:paraId="4EACBF66"/>
    <w:p w14:paraId="352AB832">
      <w:pPr>
        <w:tabs>
          <w:tab w:val="center" w:pos="4677"/>
          <w:tab w:val="left" w:pos="7368"/>
        </w:tabs>
        <w:jc w:val="left"/>
      </w:pPr>
      <w:r>
        <w:rPr>
          <w:rFonts w:hint="eastAsia"/>
        </w:rPr>
        <w:tab/>
      </w:r>
      <w:r>
        <w:t>___________________</w:t>
      </w:r>
      <w:r>
        <w:rPr>
          <w:rFonts w:hint="eastAsia"/>
        </w:rPr>
        <w:tab/>
      </w:r>
    </w:p>
    <w:p w14:paraId="42E92C2F">
      <w:pPr>
        <w:pStyle w:val="31"/>
        <w:spacing w:line="20" w:lineRule="exact"/>
        <w:ind w:firstLine="0" w:firstLineChars="0"/>
      </w:pPr>
    </w:p>
    <w:p w14:paraId="0650CEA2">
      <w:pPr>
        <w:pStyle w:val="31"/>
        <w:spacing w:line="20" w:lineRule="exact"/>
        <w:ind w:firstLine="0" w:firstLineChars="0"/>
      </w:pPr>
    </w:p>
    <w:sectPr>
      <w:headerReference r:id="rId11" w:type="default"/>
      <w:footerReference r:id="rId13" w:type="default"/>
      <w:headerReference r:id="rId12" w:type="even"/>
      <w:footerReference r:id="rId14" w:type="even"/>
      <w:type w:val="oddPage"/>
      <w:pgSz w:w="11906" w:h="16838"/>
      <w:pgMar w:top="567" w:right="1134" w:bottom="1134" w:left="1417" w:header="1417" w:footer="1134" w:gutter="0"/>
      <w:pgNumType w:start="1"/>
      <w:cols w:space="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S Mincho">
    <w:altName w:val="Adobe Myungjo Std M"/>
    <w:panose1 w:val="02020609040205080304"/>
    <w:charset w:val="80"/>
    <w:family w:val="roman"/>
    <w:pitch w:val="default"/>
    <w:sig w:usb0="00000000" w:usb1="00000000" w:usb2="00000010" w:usb3="00000000" w:csb0="00020000" w:csb1="00000000"/>
  </w:font>
  <w:font w:name="Adobe Myungjo Std M">
    <w:panose1 w:val="02020600000000000000"/>
    <w:charset w:val="80"/>
    <w:family w:val="auto"/>
    <w:pitch w:val="default"/>
    <w:sig w:usb0="00000001" w:usb1="21D72C10" w:usb2="00000010" w:usb3="00000000" w:csb0="602A0005"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A516C">
    <w:pPr>
      <w:pStyle w:val="16"/>
    </w:pPr>
  </w:p>
  <w:p w14:paraId="39FA59FC">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howingPlcHdr/>
    </w:sdtPr>
    <w:sdtContent>
      <w:p w14:paraId="4B57D259">
        <w:pPr>
          <w:pStyle w:val="16"/>
          <w:ind w:right="180"/>
        </w:pPr>
        <w:r>
          <w:rPr>
            <w:rFonts w:hint="eastAsia"/>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232809"/>
      <w:docPartObj>
        <w:docPartGallery w:val="autotext"/>
      </w:docPartObj>
    </w:sdtPr>
    <w:sdtContent>
      <w:p w14:paraId="53962033">
        <w:pPr>
          <w:pStyle w:val="16"/>
        </w:pPr>
        <w:r>
          <w:fldChar w:fldCharType="begin"/>
        </w:r>
        <w:r>
          <w:instrText xml:space="preserve">PAGE   \* MERGEFORMAT</w:instrText>
        </w:r>
        <w:r>
          <w:fldChar w:fldCharType="separate"/>
        </w:r>
        <w:r>
          <w:rPr>
            <w:lang w:val="zh-CN"/>
          </w:rPr>
          <w:t>I</w:t>
        </w:r>
        <w:r>
          <w:fldChar w:fldCharType="end"/>
        </w:r>
      </w:p>
    </w:sdtContent>
  </w:sdt>
  <w:p w14:paraId="79770F8D">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0979757"/>
      <w:docPartObj>
        <w:docPartGallery w:val="autotext"/>
      </w:docPartObj>
    </w:sdtPr>
    <w:sdtContent>
      <w:p w14:paraId="0BA8E44F">
        <w:pPr>
          <w:pStyle w:val="16"/>
        </w:pPr>
        <w:r>
          <w:fldChar w:fldCharType="begin"/>
        </w:r>
        <w:r>
          <w:instrText xml:space="preserve">PAGE   \* MERGEFORMAT</w:instrText>
        </w:r>
        <w:r>
          <w:fldChar w:fldCharType="separate"/>
        </w:r>
        <w:r>
          <w:rPr>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3C589">
    <w:pPr>
      <w:jc w:val="left"/>
    </w:pPr>
    <w:r>
      <w:rPr>
        <w:rFonts w:hint="eastAsia" w:ascii="仿宋_GB2312" w:hAnsi="仿宋_GB2312" w:eastAsia="仿宋_GB2312" w:cs="仿宋_GB2312"/>
      </w:rPr>
      <w:t>Ⅱ</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4F51C">
    <w:pPr>
      <w:pStyle w:val="1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88EFD7">
                          <w:pPr>
                            <w:pStyle w:val="16"/>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A88EFD7">
                    <w:pPr>
                      <w:pStyle w:val="16"/>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ECA35">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146638">
                          <w:pPr>
                            <w:pStyle w:val="1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05146638">
                    <w:pPr>
                      <w:pStyle w:val="16"/>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D1BF6">
    <w:pPr>
      <w:pStyle w:val="32"/>
      <w:ind w:right="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47AC0">
    <w:pPr>
      <w:pStyle w:val="32"/>
      <w:rPr>
        <w:rFonts w:hint="eastAsia" w:eastAsia="黑体"/>
        <w:lang w:eastAsia="zh-CN"/>
      </w:rPr>
    </w:pPr>
    <w:r>
      <w:t>GTJ</w:t>
    </w:r>
    <w:r>
      <w:rPr>
        <w:rFonts w:hint="eastAsia"/>
      </w:rPr>
      <w:t xml:space="preserve"> XXXX—</w:t>
    </w:r>
    <w:r>
      <w:rPr>
        <w:rFonts w:hint="eastAsia"/>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2A74C">
    <w:pPr>
      <w:pStyle w:val="17"/>
    </w:pPr>
    <w:r>
      <w:rPr>
        <w:rFonts w:hint="eastAsia"/>
      </w:rPr>
      <w:t xml:space="preserve">GTJ </w:t>
    </w:r>
    <w:r>
      <w:t>XXXX</w:t>
    </w:r>
    <w:r>
      <w:rPr>
        <w:rFonts w:hint="eastAsia"/>
      </w:rPr>
      <w:t>—</w:t>
    </w:r>
    <w: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34B7D">
    <w:pPr>
      <w:pStyle w:val="32"/>
      <w:spacing w:after="200"/>
    </w:pPr>
    <w:r>
      <w:t>GTJ</w:t>
    </w:r>
    <w:r>
      <w:rPr>
        <w:rFonts w:hint="eastAsia"/>
      </w:rPr>
      <w:t xml:space="preserve"> </w:t>
    </w:r>
    <w:r>
      <w:t>XXXX</w:t>
    </w:r>
    <w:r>
      <w:rPr>
        <w:rFonts w:hint="eastAsia"/>
      </w:rPr>
      <w:t>—</w:t>
    </w:r>
    <w: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4157F">
    <w:pPr>
      <w:pStyle w:val="17"/>
      <w:spacing w:after="200"/>
    </w:pPr>
    <w:r>
      <w:rPr>
        <w:rFonts w:hint="eastAsia"/>
      </w:rPr>
      <w:t xml:space="preserve">GTJ </w:t>
    </w:r>
    <w:r>
      <w:t>XXXX</w:t>
    </w:r>
    <w:r>
      <w:rPr>
        <w:rFonts w:hint="eastAsia"/>
      </w:rP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pStyle w:val="51"/>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426"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5813"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E9840EC"/>
    <w:multiLevelType w:val="multilevel"/>
    <w:tmpl w:val="2E9840EC"/>
    <w:lvl w:ilvl="0" w:tentative="0">
      <w:start w:val="2"/>
      <w:numFmt w:val="lowerLetter"/>
      <w:lvlText w:val="%1）"/>
      <w:lvlJc w:val="left"/>
      <w:pPr>
        <w:ind w:left="928" w:hanging="360"/>
      </w:pPr>
      <w:rPr>
        <w:rFonts w:hint="default"/>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5">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7"/>
  </w:num>
  <w:num w:numId="3">
    <w:abstractNumId w:val="2"/>
  </w:num>
  <w:num w:numId="4">
    <w:abstractNumId w:val="6"/>
  </w:num>
  <w:num w:numId="5">
    <w:abstractNumId w:val="5"/>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evenAndOddHeaders w:val="1"/>
  <w:drawingGridHorizontalSpacing w:val="90"/>
  <w:drawingGridVerticalSpacing w:val="156"/>
  <w:displayHorizontalDrawingGridEvery w:val="2"/>
  <w:displayVerticalDrawingGridEvery w:val="2"/>
  <w:noPunctuationKerning w:val="1"/>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jYTk3NjRmNDk4MDNhODA1Mjc3OWIyYzEwOTg0YTkifQ=="/>
  </w:docVars>
  <w:rsids>
    <w:rsidRoot w:val="00172A27"/>
    <w:rsid w:val="00001E6D"/>
    <w:rsid w:val="00003034"/>
    <w:rsid w:val="0000336E"/>
    <w:rsid w:val="0000394E"/>
    <w:rsid w:val="00004975"/>
    <w:rsid w:val="00006110"/>
    <w:rsid w:val="00006212"/>
    <w:rsid w:val="00006B4C"/>
    <w:rsid w:val="00006E1E"/>
    <w:rsid w:val="000103A9"/>
    <w:rsid w:val="0001099A"/>
    <w:rsid w:val="00011539"/>
    <w:rsid w:val="000127E9"/>
    <w:rsid w:val="00013717"/>
    <w:rsid w:val="000159BC"/>
    <w:rsid w:val="00015D3D"/>
    <w:rsid w:val="00016261"/>
    <w:rsid w:val="00016CAF"/>
    <w:rsid w:val="0001709F"/>
    <w:rsid w:val="0002117A"/>
    <w:rsid w:val="0002381A"/>
    <w:rsid w:val="00026004"/>
    <w:rsid w:val="000261E3"/>
    <w:rsid w:val="00026D1F"/>
    <w:rsid w:val="0002706F"/>
    <w:rsid w:val="000319E8"/>
    <w:rsid w:val="000325A8"/>
    <w:rsid w:val="000334EA"/>
    <w:rsid w:val="000345C9"/>
    <w:rsid w:val="000354D5"/>
    <w:rsid w:val="00037B28"/>
    <w:rsid w:val="0004036C"/>
    <w:rsid w:val="00040389"/>
    <w:rsid w:val="000406CF"/>
    <w:rsid w:val="0004124F"/>
    <w:rsid w:val="000422A7"/>
    <w:rsid w:val="00042BEE"/>
    <w:rsid w:val="000436D4"/>
    <w:rsid w:val="000439BC"/>
    <w:rsid w:val="00043EDE"/>
    <w:rsid w:val="00044A79"/>
    <w:rsid w:val="00044CA8"/>
    <w:rsid w:val="00045536"/>
    <w:rsid w:val="00045844"/>
    <w:rsid w:val="00046A96"/>
    <w:rsid w:val="00050287"/>
    <w:rsid w:val="000509B9"/>
    <w:rsid w:val="00051435"/>
    <w:rsid w:val="00057847"/>
    <w:rsid w:val="0006198D"/>
    <w:rsid w:val="00062034"/>
    <w:rsid w:val="00063116"/>
    <w:rsid w:val="000637CB"/>
    <w:rsid w:val="000659F2"/>
    <w:rsid w:val="00065CAA"/>
    <w:rsid w:val="00066644"/>
    <w:rsid w:val="000716D2"/>
    <w:rsid w:val="000724F6"/>
    <w:rsid w:val="000728DD"/>
    <w:rsid w:val="00073AEE"/>
    <w:rsid w:val="0007590F"/>
    <w:rsid w:val="00076840"/>
    <w:rsid w:val="0007690F"/>
    <w:rsid w:val="0007725F"/>
    <w:rsid w:val="00080566"/>
    <w:rsid w:val="00080660"/>
    <w:rsid w:val="00081192"/>
    <w:rsid w:val="00082297"/>
    <w:rsid w:val="000826A2"/>
    <w:rsid w:val="00082BBB"/>
    <w:rsid w:val="00083822"/>
    <w:rsid w:val="00083890"/>
    <w:rsid w:val="000849C1"/>
    <w:rsid w:val="00086028"/>
    <w:rsid w:val="0009391E"/>
    <w:rsid w:val="000943A9"/>
    <w:rsid w:val="00097D1A"/>
    <w:rsid w:val="000A2840"/>
    <w:rsid w:val="000A3586"/>
    <w:rsid w:val="000A5509"/>
    <w:rsid w:val="000A55C3"/>
    <w:rsid w:val="000A6145"/>
    <w:rsid w:val="000A7322"/>
    <w:rsid w:val="000A77DD"/>
    <w:rsid w:val="000B0481"/>
    <w:rsid w:val="000B0786"/>
    <w:rsid w:val="000B11AD"/>
    <w:rsid w:val="000B246D"/>
    <w:rsid w:val="000B3C9B"/>
    <w:rsid w:val="000B5514"/>
    <w:rsid w:val="000B62C4"/>
    <w:rsid w:val="000B73C2"/>
    <w:rsid w:val="000C3EF1"/>
    <w:rsid w:val="000C5260"/>
    <w:rsid w:val="000C68B4"/>
    <w:rsid w:val="000D1240"/>
    <w:rsid w:val="000D146C"/>
    <w:rsid w:val="000D32FC"/>
    <w:rsid w:val="000D49E6"/>
    <w:rsid w:val="000D664D"/>
    <w:rsid w:val="000E099B"/>
    <w:rsid w:val="000E0B11"/>
    <w:rsid w:val="000E158B"/>
    <w:rsid w:val="000E3A23"/>
    <w:rsid w:val="000E40F5"/>
    <w:rsid w:val="000E5902"/>
    <w:rsid w:val="000E5934"/>
    <w:rsid w:val="000E5E7D"/>
    <w:rsid w:val="000E7902"/>
    <w:rsid w:val="000E7F83"/>
    <w:rsid w:val="000F0066"/>
    <w:rsid w:val="000F2921"/>
    <w:rsid w:val="000F2C23"/>
    <w:rsid w:val="000F3568"/>
    <w:rsid w:val="000F3FC7"/>
    <w:rsid w:val="000F50A2"/>
    <w:rsid w:val="000F53EE"/>
    <w:rsid w:val="000F6067"/>
    <w:rsid w:val="000F6F2A"/>
    <w:rsid w:val="00101AE9"/>
    <w:rsid w:val="001020A9"/>
    <w:rsid w:val="0010389A"/>
    <w:rsid w:val="00106974"/>
    <w:rsid w:val="00107F10"/>
    <w:rsid w:val="00110700"/>
    <w:rsid w:val="0011157D"/>
    <w:rsid w:val="001122E1"/>
    <w:rsid w:val="00112CCB"/>
    <w:rsid w:val="00117360"/>
    <w:rsid w:val="0012060A"/>
    <w:rsid w:val="00120A5B"/>
    <w:rsid w:val="0012231B"/>
    <w:rsid w:val="00122333"/>
    <w:rsid w:val="0012359B"/>
    <w:rsid w:val="00124C1F"/>
    <w:rsid w:val="00125D9B"/>
    <w:rsid w:val="001306FC"/>
    <w:rsid w:val="001311A3"/>
    <w:rsid w:val="00131754"/>
    <w:rsid w:val="00133191"/>
    <w:rsid w:val="00133197"/>
    <w:rsid w:val="001337B9"/>
    <w:rsid w:val="00135BA4"/>
    <w:rsid w:val="00136F12"/>
    <w:rsid w:val="001374A9"/>
    <w:rsid w:val="00137B62"/>
    <w:rsid w:val="00141C0C"/>
    <w:rsid w:val="00141E89"/>
    <w:rsid w:val="001426DE"/>
    <w:rsid w:val="00142C88"/>
    <w:rsid w:val="00143665"/>
    <w:rsid w:val="00144247"/>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39"/>
    <w:rsid w:val="0017051D"/>
    <w:rsid w:val="00171226"/>
    <w:rsid w:val="00171F27"/>
    <w:rsid w:val="00172549"/>
    <w:rsid w:val="00172A27"/>
    <w:rsid w:val="001736F2"/>
    <w:rsid w:val="0017383D"/>
    <w:rsid w:val="00173F48"/>
    <w:rsid w:val="00174ED6"/>
    <w:rsid w:val="00175394"/>
    <w:rsid w:val="00176F45"/>
    <w:rsid w:val="001771DC"/>
    <w:rsid w:val="001775FD"/>
    <w:rsid w:val="0018062F"/>
    <w:rsid w:val="0018328D"/>
    <w:rsid w:val="00184306"/>
    <w:rsid w:val="00185FDC"/>
    <w:rsid w:val="00186E5F"/>
    <w:rsid w:val="00187920"/>
    <w:rsid w:val="00187B63"/>
    <w:rsid w:val="00187FAF"/>
    <w:rsid w:val="00191821"/>
    <w:rsid w:val="00192528"/>
    <w:rsid w:val="001928F1"/>
    <w:rsid w:val="001944A3"/>
    <w:rsid w:val="0019486D"/>
    <w:rsid w:val="00194D84"/>
    <w:rsid w:val="001978D0"/>
    <w:rsid w:val="00197B2C"/>
    <w:rsid w:val="001A067A"/>
    <w:rsid w:val="001A0A2D"/>
    <w:rsid w:val="001A2C3C"/>
    <w:rsid w:val="001A2C4F"/>
    <w:rsid w:val="001A48B1"/>
    <w:rsid w:val="001A4C23"/>
    <w:rsid w:val="001A4C61"/>
    <w:rsid w:val="001A53EB"/>
    <w:rsid w:val="001A5BFD"/>
    <w:rsid w:val="001A6306"/>
    <w:rsid w:val="001A6FE4"/>
    <w:rsid w:val="001B12EC"/>
    <w:rsid w:val="001B1A28"/>
    <w:rsid w:val="001B1B7F"/>
    <w:rsid w:val="001B2120"/>
    <w:rsid w:val="001B465B"/>
    <w:rsid w:val="001B4BF2"/>
    <w:rsid w:val="001B6576"/>
    <w:rsid w:val="001C00CC"/>
    <w:rsid w:val="001C02FF"/>
    <w:rsid w:val="001C179A"/>
    <w:rsid w:val="001C2321"/>
    <w:rsid w:val="001C2FC0"/>
    <w:rsid w:val="001C322B"/>
    <w:rsid w:val="001C3B56"/>
    <w:rsid w:val="001C3D38"/>
    <w:rsid w:val="001C3FB1"/>
    <w:rsid w:val="001C5683"/>
    <w:rsid w:val="001C61C0"/>
    <w:rsid w:val="001C62B8"/>
    <w:rsid w:val="001C71D7"/>
    <w:rsid w:val="001C7FD3"/>
    <w:rsid w:val="001D1B5F"/>
    <w:rsid w:val="001D2173"/>
    <w:rsid w:val="001D2328"/>
    <w:rsid w:val="001D234B"/>
    <w:rsid w:val="001D4BFE"/>
    <w:rsid w:val="001D67F5"/>
    <w:rsid w:val="001D6B84"/>
    <w:rsid w:val="001D6C70"/>
    <w:rsid w:val="001D7274"/>
    <w:rsid w:val="001D727B"/>
    <w:rsid w:val="001D77EA"/>
    <w:rsid w:val="001D7A6E"/>
    <w:rsid w:val="001E058F"/>
    <w:rsid w:val="001E0983"/>
    <w:rsid w:val="001E1E6A"/>
    <w:rsid w:val="001E1FAA"/>
    <w:rsid w:val="001E26A7"/>
    <w:rsid w:val="001E2A56"/>
    <w:rsid w:val="001E2C85"/>
    <w:rsid w:val="001E3395"/>
    <w:rsid w:val="001E3A84"/>
    <w:rsid w:val="001E3B8A"/>
    <w:rsid w:val="001E49E1"/>
    <w:rsid w:val="001E65BB"/>
    <w:rsid w:val="001E682B"/>
    <w:rsid w:val="001F0BE7"/>
    <w:rsid w:val="001F14EC"/>
    <w:rsid w:val="001F271A"/>
    <w:rsid w:val="001F322B"/>
    <w:rsid w:val="001F4BFB"/>
    <w:rsid w:val="001F53C5"/>
    <w:rsid w:val="001F60CE"/>
    <w:rsid w:val="001F63CD"/>
    <w:rsid w:val="001F688D"/>
    <w:rsid w:val="001F6C64"/>
    <w:rsid w:val="002013EE"/>
    <w:rsid w:val="002015A9"/>
    <w:rsid w:val="0020253E"/>
    <w:rsid w:val="00202AF3"/>
    <w:rsid w:val="00202C91"/>
    <w:rsid w:val="002035BD"/>
    <w:rsid w:val="002044F5"/>
    <w:rsid w:val="0020450F"/>
    <w:rsid w:val="00207E4F"/>
    <w:rsid w:val="00210841"/>
    <w:rsid w:val="00213357"/>
    <w:rsid w:val="00213E2D"/>
    <w:rsid w:val="00214FF7"/>
    <w:rsid w:val="00215FB0"/>
    <w:rsid w:val="00220160"/>
    <w:rsid w:val="002206A9"/>
    <w:rsid w:val="0022088D"/>
    <w:rsid w:val="00221CEF"/>
    <w:rsid w:val="00222C0D"/>
    <w:rsid w:val="00223C5B"/>
    <w:rsid w:val="0022400E"/>
    <w:rsid w:val="002241AF"/>
    <w:rsid w:val="002260D0"/>
    <w:rsid w:val="002272AE"/>
    <w:rsid w:val="00230048"/>
    <w:rsid w:val="00230B16"/>
    <w:rsid w:val="00232D9F"/>
    <w:rsid w:val="00232F78"/>
    <w:rsid w:val="00233300"/>
    <w:rsid w:val="00233D29"/>
    <w:rsid w:val="00233EBC"/>
    <w:rsid w:val="002341E8"/>
    <w:rsid w:val="0023465A"/>
    <w:rsid w:val="002367F2"/>
    <w:rsid w:val="002414D2"/>
    <w:rsid w:val="00241F38"/>
    <w:rsid w:val="00244AB3"/>
    <w:rsid w:val="00244C52"/>
    <w:rsid w:val="00244FB2"/>
    <w:rsid w:val="0024567A"/>
    <w:rsid w:val="00245C40"/>
    <w:rsid w:val="00246CA0"/>
    <w:rsid w:val="0024762A"/>
    <w:rsid w:val="00247BBA"/>
    <w:rsid w:val="0025000D"/>
    <w:rsid w:val="0025043C"/>
    <w:rsid w:val="00250A5D"/>
    <w:rsid w:val="00250A80"/>
    <w:rsid w:val="00252415"/>
    <w:rsid w:val="00252AC6"/>
    <w:rsid w:val="0025425C"/>
    <w:rsid w:val="00254A50"/>
    <w:rsid w:val="002601AF"/>
    <w:rsid w:val="00263360"/>
    <w:rsid w:val="002643F9"/>
    <w:rsid w:val="00264416"/>
    <w:rsid w:val="00264C12"/>
    <w:rsid w:val="002655B2"/>
    <w:rsid w:val="00265DC4"/>
    <w:rsid w:val="00265E0F"/>
    <w:rsid w:val="00266C70"/>
    <w:rsid w:val="00267D05"/>
    <w:rsid w:val="00270716"/>
    <w:rsid w:val="0027383D"/>
    <w:rsid w:val="00273B0B"/>
    <w:rsid w:val="00273E56"/>
    <w:rsid w:val="00275C6A"/>
    <w:rsid w:val="002810A0"/>
    <w:rsid w:val="00281F60"/>
    <w:rsid w:val="002824FF"/>
    <w:rsid w:val="00282C83"/>
    <w:rsid w:val="002833A5"/>
    <w:rsid w:val="002845D7"/>
    <w:rsid w:val="00284B4C"/>
    <w:rsid w:val="00285745"/>
    <w:rsid w:val="00287622"/>
    <w:rsid w:val="002918CF"/>
    <w:rsid w:val="00294026"/>
    <w:rsid w:val="00294519"/>
    <w:rsid w:val="00294CB2"/>
    <w:rsid w:val="00295551"/>
    <w:rsid w:val="002977E9"/>
    <w:rsid w:val="002A15BE"/>
    <w:rsid w:val="002A27B8"/>
    <w:rsid w:val="002A2D4A"/>
    <w:rsid w:val="002A30DC"/>
    <w:rsid w:val="002A3195"/>
    <w:rsid w:val="002A37E1"/>
    <w:rsid w:val="002A384E"/>
    <w:rsid w:val="002A4B1B"/>
    <w:rsid w:val="002A607C"/>
    <w:rsid w:val="002A7404"/>
    <w:rsid w:val="002A789B"/>
    <w:rsid w:val="002A7AFB"/>
    <w:rsid w:val="002A7C6B"/>
    <w:rsid w:val="002B0462"/>
    <w:rsid w:val="002B0960"/>
    <w:rsid w:val="002B1022"/>
    <w:rsid w:val="002B29CD"/>
    <w:rsid w:val="002B2AC3"/>
    <w:rsid w:val="002B35A3"/>
    <w:rsid w:val="002B4820"/>
    <w:rsid w:val="002B483E"/>
    <w:rsid w:val="002B4946"/>
    <w:rsid w:val="002B5048"/>
    <w:rsid w:val="002C08DF"/>
    <w:rsid w:val="002C0935"/>
    <w:rsid w:val="002C3046"/>
    <w:rsid w:val="002C35B9"/>
    <w:rsid w:val="002C391D"/>
    <w:rsid w:val="002C4CB7"/>
    <w:rsid w:val="002C788D"/>
    <w:rsid w:val="002D0E59"/>
    <w:rsid w:val="002D379A"/>
    <w:rsid w:val="002D3E95"/>
    <w:rsid w:val="002D5352"/>
    <w:rsid w:val="002D5978"/>
    <w:rsid w:val="002D5A59"/>
    <w:rsid w:val="002E09D5"/>
    <w:rsid w:val="002E2A41"/>
    <w:rsid w:val="002E32A9"/>
    <w:rsid w:val="002E50BB"/>
    <w:rsid w:val="002E5812"/>
    <w:rsid w:val="002E67A9"/>
    <w:rsid w:val="002E6DEC"/>
    <w:rsid w:val="002E70AD"/>
    <w:rsid w:val="002F35AF"/>
    <w:rsid w:val="002F4786"/>
    <w:rsid w:val="002F4794"/>
    <w:rsid w:val="002F5549"/>
    <w:rsid w:val="002F6CB3"/>
    <w:rsid w:val="00301CB8"/>
    <w:rsid w:val="00301DC2"/>
    <w:rsid w:val="003022ED"/>
    <w:rsid w:val="003030F3"/>
    <w:rsid w:val="00303169"/>
    <w:rsid w:val="00303A41"/>
    <w:rsid w:val="003050B8"/>
    <w:rsid w:val="003064D0"/>
    <w:rsid w:val="00306B36"/>
    <w:rsid w:val="00307085"/>
    <w:rsid w:val="003119DF"/>
    <w:rsid w:val="00311C40"/>
    <w:rsid w:val="0031214F"/>
    <w:rsid w:val="00313010"/>
    <w:rsid w:val="003158DF"/>
    <w:rsid w:val="00315CA2"/>
    <w:rsid w:val="00315D01"/>
    <w:rsid w:val="00316A56"/>
    <w:rsid w:val="003173F6"/>
    <w:rsid w:val="00321FFE"/>
    <w:rsid w:val="00324822"/>
    <w:rsid w:val="00324D5D"/>
    <w:rsid w:val="00325452"/>
    <w:rsid w:val="003256CA"/>
    <w:rsid w:val="003267D7"/>
    <w:rsid w:val="0032734F"/>
    <w:rsid w:val="00327FF0"/>
    <w:rsid w:val="003305B4"/>
    <w:rsid w:val="00330922"/>
    <w:rsid w:val="00331EE5"/>
    <w:rsid w:val="00332428"/>
    <w:rsid w:val="00332458"/>
    <w:rsid w:val="003365E3"/>
    <w:rsid w:val="0034147D"/>
    <w:rsid w:val="0034184C"/>
    <w:rsid w:val="00341926"/>
    <w:rsid w:val="00341D10"/>
    <w:rsid w:val="00341D86"/>
    <w:rsid w:val="00341F42"/>
    <w:rsid w:val="0034292A"/>
    <w:rsid w:val="003430C2"/>
    <w:rsid w:val="0034696B"/>
    <w:rsid w:val="00347E46"/>
    <w:rsid w:val="003502D1"/>
    <w:rsid w:val="0035038B"/>
    <w:rsid w:val="00350ABE"/>
    <w:rsid w:val="00350EF5"/>
    <w:rsid w:val="0035105E"/>
    <w:rsid w:val="00353D2E"/>
    <w:rsid w:val="003550B0"/>
    <w:rsid w:val="00355AD0"/>
    <w:rsid w:val="00356BB4"/>
    <w:rsid w:val="00356D0D"/>
    <w:rsid w:val="0036134C"/>
    <w:rsid w:val="003619B5"/>
    <w:rsid w:val="003624EF"/>
    <w:rsid w:val="0036296E"/>
    <w:rsid w:val="003633DE"/>
    <w:rsid w:val="0036384E"/>
    <w:rsid w:val="003638AA"/>
    <w:rsid w:val="003644A3"/>
    <w:rsid w:val="00364A01"/>
    <w:rsid w:val="00364D30"/>
    <w:rsid w:val="00364D6C"/>
    <w:rsid w:val="00364F2B"/>
    <w:rsid w:val="00365DB2"/>
    <w:rsid w:val="00370DF7"/>
    <w:rsid w:val="003711C1"/>
    <w:rsid w:val="003714F0"/>
    <w:rsid w:val="00371D19"/>
    <w:rsid w:val="0037324A"/>
    <w:rsid w:val="0037396A"/>
    <w:rsid w:val="00373C91"/>
    <w:rsid w:val="003743B0"/>
    <w:rsid w:val="00374892"/>
    <w:rsid w:val="00375A0B"/>
    <w:rsid w:val="0037614C"/>
    <w:rsid w:val="00376459"/>
    <w:rsid w:val="00377234"/>
    <w:rsid w:val="003773E1"/>
    <w:rsid w:val="00377406"/>
    <w:rsid w:val="0037787E"/>
    <w:rsid w:val="00380A48"/>
    <w:rsid w:val="0038128B"/>
    <w:rsid w:val="00381572"/>
    <w:rsid w:val="0038165A"/>
    <w:rsid w:val="003816B9"/>
    <w:rsid w:val="00381CE2"/>
    <w:rsid w:val="00382D17"/>
    <w:rsid w:val="0038319F"/>
    <w:rsid w:val="00383AA7"/>
    <w:rsid w:val="00384878"/>
    <w:rsid w:val="00386248"/>
    <w:rsid w:val="00386E59"/>
    <w:rsid w:val="00390240"/>
    <w:rsid w:val="00392AC2"/>
    <w:rsid w:val="0039330E"/>
    <w:rsid w:val="003939C9"/>
    <w:rsid w:val="00394A33"/>
    <w:rsid w:val="00395EE0"/>
    <w:rsid w:val="003964E7"/>
    <w:rsid w:val="003A05A7"/>
    <w:rsid w:val="003A0858"/>
    <w:rsid w:val="003A0D45"/>
    <w:rsid w:val="003A2657"/>
    <w:rsid w:val="003A3033"/>
    <w:rsid w:val="003A3070"/>
    <w:rsid w:val="003A3101"/>
    <w:rsid w:val="003A38A9"/>
    <w:rsid w:val="003A4C21"/>
    <w:rsid w:val="003A5DB5"/>
    <w:rsid w:val="003A6167"/>
    <w:rsid w:val="003A69C8"/>
    <w:rsid w:val="003A794B"/>
    <w:rsid w:val="003B035F"/>
    <w:rsid w:val="003B111E"/>
    <w:rsid w:val="003B1973"/>
    <w:rsid w:val="003B467C"/>
    <w:rsid w:val="003B6DAE"/>
    <w:rsid w:val="003B7E91"/>
    <w:rsid w:val="003C09AF"/>
    <w:rsid w:val="003C18A3"/>
    <w:rsid w:val="003C2370"/>
    <w:rsid w:val="003C317C"/>
    <w:rsid w:val="003C4866"/>
    <w:rsid w:val="003C4958"/>
    <w:rsid w:val="003C5D7B"/>
    <w:rsid w:val="003C7AF9"/>
    <w:rsid w:val="003D0D16"/>
    <w:rsid w:val="003D1AA7"/>
    <w:rsid w:val="003D2775"/>
    <w:rsid w:val="003D28B5"/>
    <w:rsid w:val="003D3630"/>
    <w:rsid w:val="003D3662"/>
    <w:rsid w:val="003D3D95"/>
    <w:rsid w:val="003D3F5E"/>
    <w:rsid w:val="003D5551"/>
    <w:rsid w:val="003D557C"/>
    <w:rsid w:val="003D7A28"/>
    <w:rsid w:val="003E0430"/>
    <w:rsid w:val="003E3CE1"/>
    <w:rsid w:val="003E3F22"/>
    <w:rsid w:val="003E3FBD"/>
    <w:rsid w:val="003E4626"/>
    <w:rsid w:val="003E7664"/>
    <w:rsid w:val="003F0BD7"/>
    <w:rsid w:val="003F0F5D"/>
    <w:rsid w:val="003F1913"/>
    <w:rsid w:val="003F1F64"/>
    <w:rsid w:val="003F279E"/>
    <w:rsid w:val="003F334D"/>
    <w:rsid w:val="003F3B69"/>
    <w:rsid w:val="003F4ABA"/>
    <w:rsid w:val="003F5EDC"/>
    <w:rsid w:val="003F658E"/>
    <w:rsid w:val="003F66FA"/>
    <w:rsid w:val="003F7FD0"/>
    <w:rsid w:val="004002F7"/>
    <w:rsid w:val="00400623"/>
    <w:rsid w:val="00401FDB"/>
    <w:rsid w:val="00401FE7"/>
    <w:rsid w:val="0040227C"/>
    <w:rsid w:val="00404EFB"/>
    <w:rsid w:val="004051B1"/>
    <w:rsid w:val="004100A9"/>
    <w:rsid w:val="004117E0"/>
    <w:rsid w:val="00412770"/>
    <w:rsid w:val="004150DB"/>
    <w:rsid w:val="00415B20"/>
    <w:rsid w:val="00416748"/>
    <w:rsid w:val="004210CA"/>
    <w:rsid w:val="00421146"/>
    <w:rsid w:val="00421E2A"/>
    <w:rsid w:val="00422E11"/>
    <w:rsid w:val="004233B1"/>
    <w:rsid w:val="00425B21"/>
    <w:rsid w:val="00426BEF"/>
    <w:rsid w:val="00427043"/>
    <w:rsid w:val="0043112D"/>
    <w:rsid w:val="0043126F"/>
    <w:rsid w:val="00431766"/>
    <w:rsid w:val="004338C2"/>
    <w:rsid w:val="00434D0E"/>
    <w:rsid w:val="00435975"/>
    <w:rsid w:val="004369EB"/>
    <w:rsid w:val="00436BE5"/>
    <w:rsid w:val="00436F20"/>
    <w:rsid w:val="00440F63"/>
    <w:rsid w:val="00442107"/>
    <w:rsid w:val="00442D35"/>
    <w:rsid w:val="00442F50"/>
    <w:rsid w:val="00443DCD"/>
    <w:rsid w:val="0044404B"/>
    <w:rsid w:val="00444926"/>
    <w:rsid w:val="00446880"/>
    <w:rsid w:val="004474D1"/>
    <w:rsid w:val="00450CCC"/>
    <w:rsid w:val="004510D7"/>
    <w:rsid w:val="00452032"/>
    <w:rsid w:val="0045764F"/>
    <w:rsid w:val="004600D4"/>
    <w:rsid w:val="004610A6"/>
    <w:rsid w:val="00461A33"/>
    <w:rsid w:val="00462339"/>
    <w:rsid w:val="00462351"/>
    <w:rsid w:val="00462D94"/>
    <w:rsid w:val="00466F5D"/>
    <w:rsid w:val="00472ED6"/>
    <w:rsid w:val="00474CE9"/>
    <w:rsid w:val="00477059"/>
    <w:rsid w:val="0047751A"/>
    <w:rsid w:val="00480AB2"/>
    <w:rsid w:val="00481A02"/>
    <w:rsid w:val="00481AE9"/>
    <w:rsid w:val="00482034"/>
    <w:rsid w:val="004822B1"/>
    <w:rsid w:val="00482CC6"/>
    <w:rsid w:val="00482DF7"/>
    <w:rsid w:val="004833B6"/>
    <w:rsid w:val="0048436A"/>
    <w:rsid w:val="004916BD"/>
    <w:rsid w:val="00493FA1"/>
    <w:rsid w:val="004947D2"/>
    <w:rsid w:val="00494A37"/>
    <w:rsid w:val="00494D1D"/>
    <w:rsid w:val="00495784"/>
    <w:rsid w:val="00496D35"/>
    <w:rsid w:val="00497ACB"/>
    <w:rsid w:val="00497D61"/>
    <w:rsid w:val="00497DA1"/>
    <w:rsid w:val="00497FC5"/>
    <w:rsid w:val="004A05E3"/>
    <w:rsid w:val="004A1724"/>
    <w:rsid w:val="004A5549"/>
    <w:rsid w:val="004A63F4"/>
    <w:rsid w:val="004B1112"/>
    <w:rsid w:val="004B155A"/>
    <w:rsid w:val="004B2968"/>
    <w:rsid w:val="004B32DA"/>
    <w:rsid w:val="004B3566"/>
    <w:rsid w:val="004B40FE"/>
    <w:rsid w:val="004B4691"/>
    <w:rsid w:val="004B4A48"/>
    <w:rsid w:val="004B615D"/>
    <w:rsid w:val="004B689A"/>
    <w:rsid w:val="004B724B"/>
    <w:rsid w:val="004B74CC"/>
    <w:rsid w:val="004B7829"/>
    <w:rsid w:val="004B7AAF"/>
    <w:rsid w:val="004C1065"/>
    <w:rsid w:val="004C46CD"/>
    <w:rsid w:val="004C4CC7"/>
    <w:rsid w:val="004C52A9"/>
    <w:rsid w:val="004C546D"/>
    <w:rsid w:val="004C7477"/>
    <w:rsid w:val="004D0367"/>
    <w:rsid w:val="004D3EBC"/>
    <w:rsid w:val="004D51DA"/>
    <w:rsid w:val="004E0692"/>
    <w:rsid w:val="004E26F6"/>
    <w:rsid w:val="004E3448"/>
    <w:rsid w:val="004E53A7"/>
    <w:rsid w:val="004E53D0"/>
    <w:rsid w:val="004E6D1D"/>
    <w:rsid w:val="004E7594"/>
    <w:rsid w:val="004F059A"/>
    <w:rsid w:val="004F0879"/>
    <w:rsid w:val="004F36C6"/>
    <w:rsid w:val="004F3D8A"/>
    <w:rsid w:val="004F3D98"/>
    <w:rsid w:val="004F6E84"/>
    <w:rsid w:val="00500B29"/>
    <w:rsid w:val="00501B97"/>
    <w:rsid w:val="00502021"/>
    <w:rsid w:val="0050260C"/>
    <w:rsid w:val="005051D1"/>
    <w:rsid w:val="005070D4"/>
    <w:rsid w:val="00507391"/>
    <w:rsid w:val="00507AFF"/>
    <w:rsid w:val="00507D24"/>
    <w:rsid w:val="00511995"/>
    <w:rsid w:val="005126B0"/>
    <w:rsid w:val="005132F8"/>
    <w:rsid w:val="005134FA"/>
    <w:rsid w:val="00514AEB"/>
    <w:rsid w:val="00514E71"/>
    <w:rsid w:val="0051684C"/>
    <w:rsid w:val="00520807"/>
    <w:rsid w:val="00521527"/>
    <w:rsid w:val="00523ECE"/>
    <w:rsid w:val="00525367"/>
    <w:rsid w:val="0052668B"/>
    <w:rsid w:val="00527CBB"/>
    <w:rsid w:val="0053060E"/>
    <w:rsid w:val="005332B6"/>
    <w:rsid w:val="005340AD"/>
    <w:rsid w:val="005342D4"/>
    <w:rsid w:val="00535600"/>
    <w:rsid w:val="00535E79"/>
    <w:rsid w:val="005378CA"/>
    <w:rsid w:val="00537AB0"/>
    <w:rsid w:val="0054535C"/>
    <w:rsid w:val="0054669B"/>
    <w:rsid w:val="00550268"/>
    <w:rsid w:val="00551426"/>
    <w:rsid w:val="0055149F"/>
    <w:rsid w:val="00551727"/>
    <w:rsid w:val="00551AFE"/>
    <w:rsid w:val="00551C9F"/>
    <w:rsid w:val="00552F3E"/>
    <w:rsid w:val="0055327E"/>
    <w:rsid w:val="005534F9"/>
    <w:rsid w:val="005541E4"/>
    <w:rsid w:val="00556B38"/>
    <w:rsid w:val="00556B9E"/>
    <w:rsid w:val="00556FDB"/>
    <w:rsid w:val="005600DA"/>
    <w:rsid w:val="0056191F"/>
    <w:rsid w:val="00562A16"/>
    <w:rsid w:val="00562C98"/>
    <w:rsid w:val="00563896"/>
    <w:rsid w:val="00563EF1"/>
    <w:rsid w:val="00564066"/>
    <w:rsid w:val="005651B6"/>
    <w:rsid w:val="00565AA1"/>
    <w:rsid w:val="005671DA"/>
    <w:rsid w:val="00567D86"/>
    <w:rsid w:val="00570A33"/>
    <w:rsid w:val="0057137A"/>
    <w:rsid w:val="005714D9"/>
    <w:rsid w:val="00572A3B"/>
    <w:rsid w:val="00572AFF"/>
    <w:rsid w:val="00574708"/>
    <w:rsid w:val="00575F11"/>
    <w:rsid w:val="00576098"/>
    <w:rsid w:val="0057653B"/>
    <w:rsid w:val="00581165"/>
    <w:rsid w:val="00581175"/>
    <w:rsid w:val="005817E9"/>
    <w:rsid w:val="00581F91"/>
    <w:rsid w:val="00582850"/>
    <w:rsid w:val="00582C23"/>
    <w:rsid w:val="00582E6F"/>
    <w:rsid w:val="00583678"/>
    <w:rsid w:val="00583CE1"/>
    <w:rsid w:val="00585400"/>
    <w:rsid w:val="005869A5"/>
    <w:rsid w:val="00586E97"/>
    <w:rsid w:val="00587F4B"/>
    <w:rsid w:val="00591C9A"/>
    <w:rsid w:val="005927BA"/>
    <w:rsid w:val="00593139"/>
    <w:rsid w:val="0059320B"/>
    <w:rsid w:val="00593C9B"/>
    <w:rsid w:val="00593E49"/>
    <w:rsid w:val="00593E56"/>
    <w:rsid w:val="00594528"/>
    <w:rsid w:val="00596177"/>
    <w:rsid w:val="005A015E"/>
    <w:rsid w:val="005A0267"/>
    <w:rsid w:val="005A0A85"/>
    <w:rsid w:val="005A0F4B"/>
    <w:rsid w:val="005A172D"/>
    <w:rsid w:val="005A3028"/>
    <w:rsid w:val="005A5024"/>
    <w:rsid w:val="005A7836"/>
    <w:rsid w:val="005A7900"/>
    <w:rsid w:val="005B05AC"/>
    <w:rsid w:val="005B1276"/>
    <w:rsid w:val="005B5B49"/>
    <w:rsid w:val="005B6E8A"/>
    <w:rsid w:val="005C3B22"/>
    <w:rsid w:val="005C3DF1"/>
    <w:rsid w:val="005C4CA0"/>
    <w:rsid w:val="005C4DDA"/>
    <w:rsid w:val="005C4FD9"/>
    <w:rsid w:val="005C5B7D"/>
    <w:rsid w:val="005D0A24"/>
    <w:rsid w:val="005D0DAE"/>
    <w:rsid w:val="005D212F"/>
    <w:rsid w:val="005D2DF2"/>
    <w:rsid w:val="005D3828"/>
    <w:rsid w:val="005D491E"/>
    <w:rsid w:val="005D55FB"/>
    <w:rsid w:val="005D5A38"/>
    <w:rsid w:val="005E0BFA"/>
    <w:rsid w:val="005E1161"/>
    <w:rsid w:val="005E195A"/>
    <w:rsid w:val="005E2B48"/>
    <w:rsid w:val="005E4FFC"/>
    <w:rsid w:val="005E754E"/>
    <w:rsid w:val="005F067D"/>
    <w:rsid w:val="005F1A40"/>
    <w:rsid w:val="005F1C1D"/>
    <w:rsid w:val="005F20B8"/>
    <w:rsid w:val="005F221A"/>
    <w:rsid w:val="005F2CA1"/>
    <w:rsid w:val="005F445F"/>
    <w:rsid w:val="005F67A7"/>
    <w:rsid w:val="005F696C"/>
    <w:rsid w:val="005F762C"/>
    <w:rsid w:val="005F776C"/>
    <w:rsid w:val="00601AA4"/>
    <w:rsid w:val="00601FE6"/>
    <w:rsid w:val="0060217B"/>
    <w:rsid w:val="00603990"/>
    <w:rsid w:val="00603BAB"/>
    <w:rsid w:val="00604154"/>
    <w:rsid w:val="00605C42"/>
    <w:rsid w:val="0060639E"/>
    <w:rsid w:val="0060755C"/>
    <w:rsid w:val="0061208B"/>
    <w:rsid w:val="006120EE"/>
    <w:rsid w:val="00612467"/>
    <w:rsid w:val="006131DA"/>
    <w:rsid w:val="00613E5F"/>
    <w:rsid w:val="006146CA"/>
    <w:rsid w:val="00614ADD"/>
    <w:rsid w:val="00614BB4"/>
    <w:rsid w:val="006157B4"/>
    <w:rsid w:val="00615EAD"/>
    <w:rsid w:val="00620D15"/>
    <w:rsid w:val="0062193F"/>
    <w:rsid w:val="00621A0F"/>
    <w:rsid w:val="00624B85"/>
    <w:rsid w:val="00626742"/>
    <w:rsid w:val="00627DFC"/>
    <w:rsid w:val="0063204C"/>
    <w:rsid w:val="0063211C"/>
    <w:rsid w:val="0063244C"/>
    <w:rsid w:val="00634F94"/>
    <w:rsid w:val="00636F78"/>
    <w:rsid w:val="006412DB"/>
    <w:rsid w:val="006414A3"/>
    <w:rsid w:val="00641782"/>
    <w:rsid w:val="00641B17"/>
    <w:rsid w:val="0064247D"/>
    <w:rsid w:val="00642586"/>
    <w:rsid w:val="0064258E"/>
    <w:rsid w:val="006427AC"/>
    <w:rsid w:val="006435C7"/>
    <w:rsid w:val="0064421A"/>
    <w:rsid w:val="00645123"/>
    <w:rsid w:val="006454E9"/>
    <w:rsid w:val="006460B6"/>
    <w:rsid w:val="006467EC"/>
    <w:rsid w:val="0064789A"/>
    <w:rsid w:val="0065294F"/>
    <w:rsid w:val="00655477"/>
    <w:rsid w:val="006573EE"/>
    <w:rsid w:val="00660DEC"/>
    <w:rsid w:val="006624D9"/>
    <w:rsid w:val="00664E1C"/>
    <w:rsid w:val="00664EF5"/>
    <w:rsid w:val="00665632"/>
    <w:rsid w:val="00665715"/>
    <w:rsid w:val="006657D6"/>
    <w:rsid w:val="006666B1"/>
    <w:rsid w:val="006702D6"/>
    <w:rsid w:val="00670AA8"/>
    <w:rsid w:val="00671092"/>
    <w:rsid w:val="00672A88"/>
    <w:rsid w:val="006731D1"/>
    <w:rsid w:val="00673516"/>
    <w:rsid w:val="006738E0"/>
    <w:rsid w:val="00673E3E"/>
    <w:rsid w:val="006747B9"/>
    <w:rsid w:val="006753DA"/>
    <w:rsid w:val="00675481"/>
    <w:rsid w:val="006755AB"/>
    <w:rsid w:val="00677DA2"/>
    <w:rsid w:val="0068105E"/>
    <w:rsid w:val="00684778"/>
    <w:rsid w:val="006849EB"/>
    <w:rsid w:val="00685657"/>
    <w:rsid w:val="00686334"/>
    <w:rsid w:val="00687408"/>
    <w:rsid w:val="00687E14"/>
    <w:rsid w:val="00687E7D"/>
    <w:rsid w:val="006910EE"/>
    <w:rsid w:val="006922F2"/>
    <w:rsid w:val="006929CF"/>
    <w:rsid w:val="0069528E"/>
    <w:rsid w:val="00695CB7"/>
    <w:rsid w:val="00695F63"/>
    <w:rsid w:val="0069620E"/>
    <w:rsid w:val="006A0770"/>
    <w:rsid w:val="006A19B9"/>
    <w:rsid w:val="006A1E1E"/>
    <w:rsid w:val="006A1F5C"/>
    <w:rsid w:val="006A230E"/>
    <w:rsid w:val="006A57EE"/>
    <w:rsid w:val="006A6D21"/>
    <w:rsid w:val="006A7E49"/>
    <w:rsid w:val="006B05A9"/>
    <w:rsid w:val="006B2D6D"/>
    <w:rsid w:val="006B3542"/>
    <w:rsid w:val="006B4028"/>
    <w:rsid w:val="006B44A7"/>
    <w:rsid w:val="006B4D69"/>
    <w:rsid w:val="006B5B0C"/>
    <w:rsid w:val="006C06F8"/>
    <w:rsid w:val="006C2552"/>
    <w:rsid w:val="006C31DB"/>
    <w:rsid w:val="006C3850"/>
    <w:rsid w:val="006C3F84"/>
    <w:rsid w:val="006C412B"/>
    <w:rsid w:val="006C4973"/>
    <w:rsid w:val="006C562C"/>
    <w:rsid w:val="006C5B4B"/>
    <w:rsid w:val="006C5E5F"/>
    <w:rsid w:val="006C72F7"/>
    <w:rsid w:val="006C7BD2"/>
    <w:rsid w:val="006D0E5B"/>
    <w:rsid w:val="006D2FE9"/>
    <w:rsid w:val="006D33A2"/>
    <w:rsid w:val="006D4173"/>
    <w:rsid w:val="006D51CB"/>
    <w:rsid w:val="006D53E3"/>
    <w:rsid w:val="006D5510"/>
    <w:rsid w:val="006E1121"/>
    <w:rsid w:val="006E1880"/>
    <w:rsid w:val="006E2227"/>
    <w:rsid w:val="006E2CD7"/>
    <w:rsid w:val="006E3D5A"/>
    <w:rsid w:val="006E3F85"/>
    <w:rsid w:val="006E54D1"/>
    <w:rsid w:val="006E5B7C"/>
    <w:rsid w:val="006E66BC"/>
    <w:rsid w:val="006E74CA"/>
    <w:rsid w:val="006E7BEE"/>
    <w:rsid w:val="006E7DE5"/>
    <w:rsid w:val="006F2B46"/>
    <w:rsid w:val="006F32E1"/>
    <w:rsid w:val="006F429A"/>
    <w:rsid w:val="006F4592"/>
    <w:rsid w:val="006F48B8"/>
    <w:rsid w:val="00700BE1"/>
    <w:rsid w:val="00700F03"/>
    <w:rsid w:val="00702759"/>
    <w:rsid w:val="007032E5"/>
    <w:rsid w:val="00703A32"/>
    <w:rsid w:val="00703DFF"/>
    <w:rsid w:val="00705EB5"/>
    <w:rsid w:val="00706C64"/>
    <w:rsid w:val="0070754A"/>
    <w:rsid w:val="007078F6"/>
    <w:rsid w:val="00707DD0"/>
    <w:rsid w:val="00707EFA"/>
    <w:rsid w:val="00710A37"/>
    <w:rsid w:val="00710C6A"/>
    <w:rsid w:val="007111B5"/>
    <w:rsid w:val="00713DD0"/>
    <w:rsid w:val="00714FB0"/>
    <w:rsid w:val="007153C4"/>
    <w:rsid w:val="007161FF"/>
    <w:rsid w:val="007162F7"/>
    <w:rsid w:val="00717FE0"/>
    <w:rsid w:val="00720D68"/>
    <w:rsid w:val="00720F8C"/>
    <w:rsid w:val="007215B8"/>
    <w:rsid w:val="007221B2"/>
    <w:rsid w:val="007229D3"/>
    <w:rsid w:val="00723C9D"/>
    <w:rsid w:val="007244C7"/>
    <w:rsid w:val="0072571A"/>
    <w:rsid w:val="00726A7B"/>
    <w:rsid w:val="00727A0B"/>
    <w:rsid w:val="00730371"/>
    <w:rsid w:val="00731FE9"/>
    <w:rsid w:val="007324AE"/>
    <w:rsid w:val="007325C3"/>
    <w:rsid w:val="00732CF1"/>
    <w:rsid w:val="007335A9"/>
    <w:rsid w:val="0073466F"/>
    <w:rsid w:val="0073574C"/>
    <w:rsid w:val="0073579B"/>
    <w:rsid w:val="00740CDE"/>
    <w:rsid w:val="00742889"/>
    <w:rsid w:val="00745303"/>
    <w:rsid w:val="00746C94"/>
    <w:rsid w:val="00750958"/>
    <w:rsid w:val="00751162"/>
    <w:rsid w:val="00751F08"/>
    <w:rsid w:val="007521E8"/>
    <w:rsid w:val="007523FC"/>
    <w:rsid w:val="007534C7"/>
    <w:rsid w:val="007551DE"/>
    <w:rsid w:val="007557A6"/>
    <w:rsid w:val="00756943"/>
    <w:rsid w:val="00757089"/>
    <w:rsid w:val="00757B92"/>
    <w:rsid w:val="00760FF3"/>
    <w:rsid w:val="0076188C"/>
    <w:rsid w:val="007627E9"/>
    <w:rsid w:val="00762ADD"/>
    <w:rsid w:val="00764227"/>
    <w:rsid w:val="00764915"/>
    <w:rsid w:val="00764FE9"/>
    <w:rsid w:val="007655E5"/>
    <w:rsid w:val="00767DE5"/>
    <w:rsid w:val="00770A37"/>
    <w:rsid w:val="00770D58"/>
    <w:rsid w:val="00771A5B"/>
    <w:rsid w:val="00771AE3"/>
    <w:rsid w:val="00772498"/>
    <w:rsid w:val="0077283B"/>
    <w:rsid w:val="00773A50"/>
    <w:rsid w:val="00774B94"/>
    <w:rsid w:val="00774DB6"/>
    <w:rsid w:val="00775029"/>
    <w:rsid w:val="007778E1"/>
    <w:rsid w:val="00777DC0"/>
    <w:rsid w:val="007801A1"/>
    <w:rsid w:val="00781045"/>
    <w:rsid w:val="007824FA"/>
    <w:rsid w:val="0078385A"/>
    <w:rsid w:val="00784B62"/>
    <w:rsid w:val="00787748"/>
    <w:rsid w:val="0079077E"/>
    <w:rsid w:val="007915A3"/>
    <w:rsid w:val="00791794"/>
    <w:rsid w:val="007922B4"/>
    <w:rsid w:val="0079241B"/>
    <w:rsid w:val="00793472"/>
    <w:rsid w:val="00793E0A"/>
    <w:rsid w:val="007949AB"/>
    <w:rsid w:val="00795F45"/>
    <w:rsid w:val="007967DC"/>
    <w:rsid w:val="007968F8"/>
    <w:rsid w:val="007970D9"/>
    <w:rsid w:val="007974C3"/>
    <w:rsid w:val="0079758F"/>
    <w:rsid w:val="00797A7F"/>
    <w:rsid w:val="007A0970"/>
    <w:rsid w:val="007A0EFD"/>
    <w:rsid w:val="007A10EE"/>
    <w:rsid w:val="007A112F"/>
    <w:rsid w:val="007A28A9"/>
    <w:rsid w:val="007A2F39"/>
    <w:rsid w:val="007A462E"/>
    <w:rsid w:val="007A4E13"/>
    <w:rsid w:val="007A5AA0"/>
    <w:rsid w:val="007A5BE3"/>
    <w:rsid w:val="007A6733"/>
    <w:rsid w:val="007A744D"/>
    <w:rsid w:val="007B0703"/>
    <w:rsid w:val="007B16F6"/>
    <w:rsid w:val="007B2030"/>
    <w:rsid w:val="007B2754"/>
    <w:rsid w:val="007B510A"/>
    <w:rsid w:val="007B791E"/>
    <w:rsid w:val="007B7F2B"/>
    <w:rsid w:val="007B7F53"/>
    <w:rsid w:val="007C0108"/>
    <w:rsid w:val="007C0344"/>
    <w:rsid w:val="007C0668"/>
    <w:rsid w:val="007C1254"/>
    <w:rsid w:val="007C1554"/>
    <w:rsid w:val="007C177B"/>
    <w:rsid w:val="007C2C6C"/>
    <w:rsid w:val="007C3DDA"/>
    <w:rsid w:val="007C44F5"/>
    <w:rsid w:val="007C50E5"/>
    <w:rsid w:val="007C558D"/>
    <w:rsid w:val="007C6137"/>
    <w:rsid w:val="007C6223"/>
    <w:rsid w:val="007C6D80"/>
    <w:rsid w:val="007D0998"/>
    <w:rsid w:val="007D1016"/>
    <w:rsid w:val="007D3A9C"/>
    <w:rsid w:val="007D5186"/>
    <w:rsid w:val="007D57CA"/>
    <w:rsid w:val="007D7127"/>
    <w:rsid w:val="007D71A7"/>
    <w:rsid w:val="007E32FD"/>
    <w:rsid w:val="007E34ED"/>
    <w:rsid w:val="007E3ACB"/>
    <w:rsid w:val="007E3CF2"/>
    <w:rsid w:val="007E6C49"/>
    <w:rsid w:val="007E746D"/>
    <w:rsid w:val="007E7BDA"/>
    <w:rsid w:val="007F161F"/>
    <w:rsid w:val="007F25B8"/>
    <w:rsid w:val="007F2653"/>
    <w:rsid w:val="007F26AA"/>
    <w:rsid w:val="007F3621"/>
    <w:rsid w:val="007F45BB"/>
    <w:rsid w:val="007F6C85"/>
    <w:rsid w:val="007F6CF6"/>
    <w:rsid w:val="007F7406"/>
    <w:rsid w:val="007F7C7F"/>
    <w:rsid w:val="008001FE"/>
    <w:rsid w:val="00800903"/>
    <w:rsid w:val="008018A7"/>
    <w:rsid w:val="008018D1"/>
    <w:rsid w:val="00802268"/>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22A7"/>
    <w:rsid w:val="00822C39"/>
    <w:rsid w:val="00823AEE"/>
    <w:rsid w:val="00825F1D"/>
    <w:rsid w:val="008279BB"/>
    <w:rsid w:val="00830191"/>
    <w:rsid w:val="0083386D"/>
    <w:rsid w:val="00834714"/>
    <w:rsid w:val="00834E8A"/>
    <w:rsid w:val="0083501C"/>
    <w:rsid w:val="0083535B"/>
    <w:rsid w:val="008358D4"/>
    <w:rsid w:val="00836ABC"/>
    <w:rsid w:val="00836B1A"/>
    <w:rsid w:val="008415E6"/>
    <w:rsid w:val="00841AB1"/>
    <w:rsid w:val="00841AD6"/>
    <w:rsid w:val="00841B82"/>
    <w:rsid w:val="00842356"/>
    <w:rsid w:val="0084291B"/>
    <w:rsid w:val="00844A24"/>
    <w:rsid w:val="00845529"/>
    <w:rsid w:val="008527B4"/>
    <w:rsid w:val="00852B5A"/>
    <w:rsid w:val="008535DA"/>
    <w:rsid w:val="00853B11"/>
    <w:rsid w:val="00854190"/>
    <w:rsid w:val="00855B80"/>
    <w:rsid w:val="00855FB8"/>
    <w:rsid w:val="008562C3"/>
    <w:rsid w:val="00857929"/>
    <w:rsid w:val="00861F8A"/>
    <w:rsid w:val="00862939"/>
    <w:rsid w:val="0086344C"/>
    <w:rsid w:val="008667F3"/>
    <w:rsid w:val="00867201"/>
    <w:rsid w:val="00867CDF"/>
    <w:rsid w:val="00872E8E"/>
    <w:rsid w:val="00873FEB"/>
    <w:rsid w:val="00874341"/>
    <w:rsid w:val="00875824"/>
    <w:rsid w:val="00876DB2"/>
    <w:rsid w:val="00877E86"/>
    <w:rsid w:val="00881F20"/>
    <w:rsid w:val="00882927"/>
    <w:rsid w:val="00882949"/>
    <w:rsid w:val="008878B5"/>
    <w:rsid w:val="00890708"/>
    <w:rsid w:val="00890D97"/>
    <w:rsid w:val="0089100C"/>
    <w:rsid w:val="00891986"/>
    <w:rsid w:val="00891FDE"/>
    <w:rsid w:val="00892D6F"/>
    <w:rsid w:val="00894015"/>
    <w:rsid w:val="00894BFB"/>
    <w:rsid w:val="00895B36"/>
    <w:rsid w:val="0089655C"/>
    <w:rsid w:val="00897BC2"/>
    <w:rsid w:val="008A3377"/>
    <w:rsid w:val="008A4786"/>
    <w:rsid w:val="008A489B"/>
    <w:rsid w:val="008A48D8"/>
    <w:rsid w:val="008A4DD0"/>
    <w:rsid w:val="008A5CF7"/>
    <w:rsid w:val="008A60A1"/>
    <w:rsid w:val="008A686A"/>
    <w:rsid w:val="008A6EAD"/>
    <w:rsid w:val="008B02E5"/>
    <w:rsid w:val="008B371C"/>
    <w:rsid w:val="008B37C8"/>
    <w:rsid w:val="008B68AB"/>
    <w:rsid w:val="008B774B"/>
    <w:rsid w:val="008B794D"/>
    <w:rsid w:val="008C1603"/>
    <w:rsid w:val="008C2030"/>
    <w:rsid w:val="008C21C8"/>
    <w:rsid w:val="008C2DC9"/>
    <w:rsid w:val="008C32E0"/>
    <w:rsid w:val="008C3326"/>
    <w:rsid w:val="008C51F1"/>
    <w:rsid w:val="008C5327"/>
    <w:rsid w:val="008C6B4D"/>
    <w:rsid w:val="008C6E34"/>
    <w:rsid w:val="008D170F"/>
    <w:rsid w:val="008D321C"/>
    <w:rsid w:val="008D3D0B"/>
    <w:rsid w:val="008D3D73"/>
    <w:rsid w:val="008D4414"/>
    <w:rsid w:val="008D4D67"/>
    <w:rsid w:val="008D5872"/>
    <w:rsid w:val="008D7962"/>
    <w:rsid w:val="008D7E42"/>
    <w:rsid w:val="008E3E88"/>
    <w:rsid w:val="008E4D55"/>
    <w:rsid w:val="008E5B9D"/>
    <w:rsid w:val="008F0686"/>
    <w:rsid w:val="008F1542"/>
    <w:rsid w:val="008F7338"/>
    <w:rsid w:val="008F795A"/>
    <w:rsid w:val="00902763"/>
    <w:rsid w:val="00903A77"/>
    <w:rsid w:val="00905293"/>
    <w:rsid w:val="009054BC"/>
    <w:rsid w:val="009076E8"/>
    <w:rsid w:val="009076FF"/>
    <w:rsid w:val="009107B5"/>
    <w:rsid w:val="0091085A"/>
    <w:rsid w:val="00910D6D"/>
    <w:rsid w:val="00911E9D"/>
    <w:rsid w:val="00911FF9"/>
    <w:rsid w:val="009137BD"/>
    <w:rsid w:val="00913A1D"/>
    <w:rsid w:val="00913B8A"/>
    <w:rsid w:val="00914F96"/>
    <w:rsid w:val="009152A7"/>
    <w:rsid w:val="009154E3"/>
    <w:rsid w:val="00915904"/>
    <w:rsid w:val="00916FED"/>
    <w:rsid w:val="009173A0"/>
    <w:rsid w:val="0091777F"/>
    <w:rsid w:val="00917782"/>
    <w:rsid w:val="00917DB7"/>
    <w:rsid w:val="00920AE0"/>
    <w:rsid w:val="00920D2C"/>
    <w:rsid w:val="00921C96"/>
    <w:rsid w:val="00921DF0"/>
    <w:rsid w:val="0092374F"/>
    <w:rsid w:val="00923A75"/>
    <w:rsid w:val="00923ECA"/>
    <w:rsid w:val="00925780"/>
    <w:rsid w:val="00927221"/>
    <w:rsid w:val="00930FAB"/>
    <w:rsid w:val="009328D8"/>
    <w:rsid w:val="00933B28"/>
    <w:rsid w:val="009349F9"/>
    <w:rsid w:val="00934CE9"/>
    <w:rsid w:val="009373A6"/>
    <w:rsid w:val="00937920"/>
    <w:rsid w:val="00937D18"/>
    <w:rsid w:val="00937E79"/>
    <w:rsid w:val="00941AE5"/>
    <w:rsid w:val="00941C5E"/>
    <w:rsid w:val="009422E8"/>
    <w:rsid w:val="00942358"/>
    <w:rsid w:val="009425C0"/>
    <w:rsid w:val="00942B40"/>
    <w:rsid w:val="00943165"/>
    <w:rsid w:val="0094360F"/>
    <w:rsid w:val="00943EC4"/>
    <w:rsid w:val="009445ED"/>
    <w:rsid w:val="00944985"/>
    <w:rsid w:val="00945924"/>
    <w:rsid w:val="00946637"/>
    <w:rsid w:val="00946911"/>
    <w:rsid w:val="00947C88"/>
    <w:rsid w:val="00950022"/>
    <w:rsid w:val="009503A4"/>
    <w:rsid w:val="009506F4"/>
    <w:rsid w:val="00953EB1"/>
    <w:rsid w:val="00953F48"/>
    <w:rsid w:val="009546CC"/>
    <w:rsid w:val="0095551B"/>
    <w:rsid w:val="009562FB"/>
    <w:rsid w:val="009573AF"/>
    <w:rsid w:val="0096084E"/>
    <w:rsid w:val="00961146"/>
    <w:rsid w:val="00961875"/>
    <w:rsid w:val="009621C4"/>
    <w:rsid w:val="00964B9B"/>
    <w:rsid w:val="009658A3"/>
    <w:rsid w:val="00966F2F"/>
    <w:rsid w:val="009705F7"/>
    <w:rsid w:val="00970927"/>
    <w:rsid w:val="00970C1D"/>
    <w:rsid w:val="009715A8"/>
    <w:rsid w:val="009718CC"/>
    <w:rsid w:val="0097462B"/>
    <w:rsid w:val="009758FF"/>
    <w:rsid w:val="00975DEC"/>
    <w:rsid w:val="00975F54"/>
    <w:rsid w:val="00976CD1"/>
    <w:rsid w:val="009806A9"/>
    <w:rsid w:val="009818CF"/>
    <w:rsid w:val="009821C7"/>
    <w:rsid w:val="009829AE"/>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875"/>
    <w:rsid w:val="009A1A9B"/>
    <w:rsid w:val="009A4F92"/>
    <w:rsid w:val="009A7A72"/>
    <w:rsid w:val="009B18D4"/>
    <w:rsid w:val="009B1F02"/>
    <w:rsid w:val="009B20A1"/>
    <w:rsid w:val="009B400A"/>
    <w:rsid w:val="009B46F0"/>
    <w:rsid w:val="009B6E34"/>
    <w:rsid w:val="009B744D"/>
    <w:rsid w:val="009B7626"/>
    <w:rsid w:val="009C14E0"/>
    <w:rsid w:val="009C27AE"/>
    <w:rsid w:val="009C2F60"/>
    <w:rsid w:val="009C6543"/>
    <w:rsid w:val="009C6DC6"/>
    <w:rsid w:val="009C6F11"/>
    <w:rsid w:val="009C7B3E"/>
    <w:rsid w:val="009D0767"/>
    <w:rsid w:val="009D0E4A"/>
    <w:rsid w:val="009D2B72"/>
    <w:rsid w:val="009D304F"/>
    <w:rsid w:val="009D7983"/>
    <w:rsid w:val="009D7FC0"/>
    <w:rsid w:val="009E0574"/>
    <w:rsid w:val="009E0B80"/>
    <w:rsid w:val="009E29B5"/>
    <w:rsid w:val="009E39C1"/>
    <w:rsid w:val="009E544A"/>
    <w:rsid w:val="009E7B64"/>
    <w:rsid w:val="009F1772"/>
    <w:rsid w:val="009F3BE7"/>
    <w:rsid w:val="009F4ED3"/>
    <w:rsid w:val="009F586C"/>
    <w:rsid w:val="009F63C4"/>
    <w:rsid w:val="009F64F7"/>
    <w:rsid w:val="009F6582"/>
    <w:rsid w:val="009F7128"/>
    <w:rsid w:val="009F7630"/>
    <w:rsid w:val="00A006AF"/>
    <w:rsid w:val="00A00CD5"/>
    <w:rsid w:val="00A00E85"/>
    <w:rsid w:val="00A025FB"/>
    <w:rsid w:val="00A034AC"/>
    <w:rsid w:val="00A03CA6"/>
    <w:rsid w:val="00A04350"/>
    <w:rsid w:val="00A04453"/>
    <w:rsid w:val="00A06077"/>
    <w:rsid w:val="00A1130B"/>
    <w:rsid w:val="00A1204E"/>
    <w:rsid w:val="00A14403"/>
    <w:rsid w:val="00A207C0"/>
    <w:rsid w:val="00A21D90"/>
    <w:rsid w:val="00A2303E"/>
    <w:rsid w:val="00A23AAC"/>
    <w:rsid w:val="00A24184"/>
    <w:rsid w:val="00A24879"/>
    <w:rsid w:val="00A24A22"/>
    <w:rsid w:val="00A24D67"/>
    <w:rsid w:val="00A263F7"/>
    <w:rsid w:val="00A2654F"/>
    <w:rsid w:val="00A26B71"/>
    <w:rsid w:val="00A2779C"/>
    <w:rsid w:val="00A30096"/>
    <w:rsid w:val="00A315E6"/>
    <w:rsid w:val="00A332D1"/>
    <w:rsid w:val="00A3351C"/>
    <w:rsid w:val="00A34E32"/>
    <w:rsid w:val="00A362F7"/>
    <w:rsid w:val="00A36652"/>
    <w:rsid w:val="00A36DBD"/>
    <w:rsid w:val="00A373D2"/>
    <w:rsid w:val="00A4016C"/>
    <w:rsid w:val="00A4097A"/>
    <w:rsid w:val="00A40A82"/>
    <w:rsid w:val="00A410C7"/>
    <w:rsid w:val="00A43965"/>
    <w:rsid w:val="00A4533F"/>
    <w:rsid w:val="00A45477"/>
    <w:rsid w:val="00A46D82"/>
    <w:rsid w:val="00A4728A"/>
    <w:rsid w:val="00A47295"/>
    <w:rsid w:val="00A478AA"/>
    <w:rsid w:val="00A5088E"/>
    <w:rsid w:val="00A509C0"/>
    <w:rsid w:val="00A51C7B"/>
    <w:rsid w:val="00A526CA"/>
    <w:rsid w:val="00A52BA7"/>
    <w:rsid w:val="00A54380"/>
    <w:rsid w:val="00A5470F"/>
    <w:rsid w:val="00A54D80"/>
    <w:rsid w:val="00A54DD8"/>
    <w:rsid w:val="00A565EC"/>
    <w:rsid w:val="00A568DD"/>
    <w:rsid w:val="00A603F0"/>
    <w:rsid w:val="00A60F3B"/>
    <w:rsid w:val="00A61128"/>
    <w:rsid w:val="00A6284F"/>
    <w:rsid w:val="00A63005"/>
    <w:rsid w:val="00A631DA"/>
    <w:rsid w:val="00A642BA"/>
    <w:rsid w:val="00A64D34"/>
    <w:rsid w:val="00A64F4B"/>
    <w:rsid w:val="00A65440"/>
    <w:rsid w:val="00A66E67"/>
    <w:rsid w:val="00A71044"/>
    <w:rsid w:val="00A71AC2"/>
    <w:rsid w:val="00A73271"/>
    <w:rsid w:val="00A73C6B"/>
    <w:rsid w:val="00A75756"/>
    <w:rsid w:val="00A75A99"/>
    <w:rsid w:val="00A77A14"/>
    <w:rsid w:val="00A91106"/>
    <w:rsid w:val="00A929CC"/>
    <w:rsid w:val="00A93190"/>
    <w:rsid w:val="00A95B50"/>
    <w:rsid w:val="00A96B65"/>
    <w:rsid w:val="00A96CC4"/>
    <w:rsid w:val="00A96E7E"/>
    <w:rsid w:val="00A973BF"/>
    <w:rsid w:val="00A97563"/>
    <w:rsid w:val="00A97BED"/>
    <w:rsid w:val="00AA048A"/>
    <w:rsid w:val="00AA05EE"/>
    <w:rsid w:val="00AA1A0F"/>
    <w:rsid w:val="00AA1CF9"/>
    <w:rsid w:val="00AA287B"/>
    <w:rsid w:val="00AA341C"/>
    <w:rsid w:val="00AA3750"/>
    <w:rsid w:val="00AA408B"/>
    <w:rsid w:val="00AA44A1"/>
    <w:rsid w:val="00AA5060"/>
    <w:rsid w:val="00AA72A4"/>
    <w:rsid w:val="00AB04F3"/>
    <w:rsid w:val="00AB14B4"/>
    <w:rsid w:val="00AB1812"/>
    <w:rsid w:val="00AB1EF5"/>
    <w:rsid w:val="00AB2494"/>
    <w:rsid w:val="00AB49CA"/>
    <w:rsid w:val="00AB59E6"/>
    <w:rsid w:val="00AC3403"/>
    <w:rsid w:val="00AC3B9D"/>
    <w:rsid w:val="00AC3FCD"/>
    <w:rsid w:val="00AC4962"/>
    <w:rsid w:val="00AD12DD"/>
    <w:rsid w:val="00AD18C7"/>
    <w:rsid w:val="00AD1E2B"/>
    <w:rsid w:val="00AD2DAC"/>
    <w:rsid w:val="00AD53EB"/>
    <w:rsid w:val="00AD5F90"/>
    <w:rsid w:val="00AD6ED7"/>
    <w:rsid w:val="00AE026F"/>
    <w:rsid w:val="00AE06D1"/>
    <w:rsid w:val="00AE0B43"/>
    <w:rsid w:val="00AE3A3E"/>
    <w:rsid w:val="00AE49D4"/>
    <w:rsid w:val="00AE4E82"/>
    <w:rsid w:val="00AE61BD"/>
    <w:rsid w:val="00AE72C5"/>
    <w:rsid w:val="00AE7C89"/>
    <w:rsid w:val="00AF166B"/>
    <w:rsid w:val="00AF1915"/>
    <w:rsid w:val="00AF21C6"/>
    <w:rsid w:val="00AF3C14"/>
    <w:rsid w:val="00AF4A1C"/>
    <w:rsid w:val="00AF4AD6"/>
    <w:rsid w:val="00AF4EE0"/>
    <w:rsid w:val="00AF4F7C"/>
    <w:rsid w:val="00AF51D8"/>
    <w:rsid w:val="00AF6AAF"/>
    <w:rsid w:val="00AF6C40"/>
    <w:rsid w:val="00AF7ACD"/>
    <w:rsid w:val="00AF7AF9"/>
    <w:rsid w:val="00B021AF"/>
    <w:rsid w:val="00B05302"/>
    <w:rsid w:val="00B0587A"/>
    <w:rsid w:val="00B05D05"/>
    <w:rsid w:val="00B05E81"/>
    <w:rsid w:val="00B068D5"/>
    <w:rsid w:val="00B07A52"/>
    <w:rsid w:val="00B1207E"/>
    <w:rsid w:val="00B1337D"/>
    <w:rsid w:val="00B14ACA"/>
    <w:rsid w:val="00B1549D"/>
    <w:rsid w:val="00B16F3E"/>
    <w:rsid w:val="00B17489"/>
    <w:rsid w:val="00B174C4"/>
    <w:rsid w:val="00B24A98"/>
    <w:rsid w:val="00B26168"/>
    <w:rsid w:val="00B26298"/>
    <w:rsid w:val="00B266FD"/>
    <w:rsid w:val="00B26C15"/>
    <w:rsid w:val="00B26EC4"/>
    <w:rsid w:val="00B27417"/>
    <w:rsid w:val="00B30898"/>
    <w:rsid w:val="00B31CE1"/>
    <w:rsid w:val="00B3498A"/>
    <w:rsid w:val="00B34C81"/>
    <w:rsid w:val="00B36949"/>
    <w:rsid w:val="00B40040"/>
    <w:rsid w:val="00B410A1"/>
    <w:rsid w:val="00B415C7"/>
    <w:rsid w:val="00B433AA"/>
    <w:rsid w:val="00B4429C"/>
    <w:rsid w:val="00B47D72"/>
    <w:rsid w:val="00B50C3D"/>
    <w:rsid w:val="00B52488"/>
    <w:rsid w:val="00B54D63"/>
    <w:rsid w:val="00B552F5"/>
    <w:rsid w:val="00B553AF"/>
    <w:rsid w:val="00B55B0E"/>
    <w:rsid w:val="00B572A9"/>
    <w:rsid w:val="00B6006B"/>
    <w:rsid w:val="00B6060D"/>
    <w:rsid w:val="00B60FC0"/>
    <w:rsid w:val="00B615BB"/>
    <w:rsid w:val="00B61E49"/>
    <w:rsid w:val="00B6251A"/>
    <w:rsid w:val="00B625F0"/>
    <w:rsid w:val="00B62B3C"/>
    <w:rsid w:val="00B63FC9"/>
    <w:rsid w:val="00B659F2"/>
    <w:rsid w:val="00B65EED"/>
    <w:rsid w:val="00B673A3"/>
    <w:rsid w:val="00B70E82"/>
    <w:rsid w:val="00B718DC"/>
    <w:rsid w:val="00B71DEC"/>
    <w:rsid w:val="00B72C11"/>
    <w:rsid w:val="00B74543"/>
    <w:rsid w:val="00B80BB0"/>
    <w:rsid w:val="00B81B46"/>
    <w:rsid w:val="00B827F8"/>
    <w:rsid w:val="00B82AED"/>
    <w:rsid w:val="00B8391D"/>
    <w:rsid w:val="00B8412D"/>
    <w:rsid w:val="00B85ADB"/>
    <w:rsid w:val="00B87276"/>
    <w:rsid w:val="00B90E62"/>
    <w:rsid w:val="00B930B8"/>
    <w:rsid w:val="00B95000"/>
    <w:rsid w:val="00B96CE4"/>
    <w:rsid w:val="00B97C76"/>
    <w:rsid w:val="00BA02A7"/>
    <w:rsid w:val="00BA1040"/>
    <w:rsid w:val="00BA1096"/>
    <w:rsid w:val="00BA18F2"/>
    <w:rsid w:val="00BA338C"/>
    <w:rsid w:val="00BA3FD0"/>
    <w:rsid w:val="00BA471D"/>
    <w:rsid w:val="00BA7611"/>
    <w:rsid w:val="00BA776F"/>
    <w:rsid w:val="00BB0656"/>
    <w:rsid w:val="00BB3F6F"/>
    <w:rsid w:val="00BB4EF1"/>
    <w:rsid w:val="00BB6085"/>
    <w:rsid w:val="00BB7DEB"/>
    <w:rsid w:val="00BB7FF3"/>
    <w:rsid w:val="00BC0AF0"/>
    <w:rsid w:val="00BC143E"/>
    <w:rsid w:val="00BC160E"/>
    <w:rsid w:val="00BC2948"/>
    <w:rsid w:val="00BC355B"/>
    <w:rsid w:val="00BC65E6"/>
    <w:rsid w:val="00BC66CA"/>
    <w:rsid w:val="00BC79F7"/>
    <w:rsid w:val="00BD005F"/>
    <w:rsid w:val="00BD0E94"/>
    <w:rsid w:val="00BD2E5D"/>
    <w:rsid w:val="00BD482D"/>
    <w:rsid w:val="00BD5B6E"/>
    <w:rsid w:val="00BE095F"/>
    <w:rsid w:val="00BE25F5"/>
    <w:rsid w:val="00BE5AC2"/>
    <w:rsid w:val="00BE5CB5"/>
    <w:rsid w:val="00BE5D79"/>
    <w:rsid w:val="00BE7171"/>
    <w:rsid w:val="00BF14A4"/>
    <w:rsid w:val="00BF384F"/>
    <w:rsid w:val="00BF3A1D"/>
    <w:rsid w:val="00BF3BC9"/>
    <w:rsid w:val="00BF48D2"/>
    <w:rsid w:val="00BF4913"/>
    <w:rsid w:val="00BF5938"/>
    <w:rsid w:val="00BF6EFD"/>
    <w:rsid w:val="00C012CC"/>
    <w:rsid w:val="00C0568F"/>
    <w:rsid w:val="00C057BA"/>
    <w:rsid w:val="00C0668F"/>
    <w:rsid w:val="00C06BB2"/>
    <w:rsid w:val="00C06D8E"/>
    <w:rsid w:val="00C0736B"/>
    <w:rsid w:val="00C07B63"/>
    <w:rsid w:val="00C13117"/>
    <w:rsid w:val="00C13203"/>
    <w:rsid w:val="00C13DE1"/>
    <w:rsid w:val="00C15414"/>
    <w:rsid w:val="00C15F28"/>
    <w:rsid w:val="00C15FF9"/>
    <w:rsid w:val="00C1627A"/>
    <w:rsid w:val="00C16735"/>
    <w:rsid w:val="00C168F7"/>
    <w:rsid w:val="00C1711A"/>
    <w:rsid w:val="00C20730"/>
    <w:rsid w:val="00C2136B"/>
    <w:rsid w:val="00C21810"/>
    <w:rsid w:val="00C24600"/>
    <w:rsid w:val="00C25273"/>
    <w:rsid w:val="00C26B24"/>
    <w:rsid w:val="00C26F5D"/>
    <w:rsid w:val="00C27398"/>
    <w:rsid w:val="00C30F51"/>
    <w:rsid w:val="00C318F4"/>
    <w:rsid w:val="00C31A40"/>
    <w:rsid w:val="00C321D4"/>
    <w:rsid w:val="00C3397E"/>
    <w:rsid w:val="00C33AF4"/>
    <w:rsid w:val="00C36156"/>
    <w:rsid w:val="00C36FB6"/>
    <w:rsid w:val="00C379BD"/>
    <w:rsid w:val="00C40FD2"/>
    <w:rsid w:val="00C426F3"/>
    <w:rsid w:val="00C4320C"/>
    <w:rsid w:val="00C44828"/>
    <w:rsid w:val="00C44C6E"/>
    <w:rsid w:val="00C517DC"/>
    <w:rsid w:val="00C51893"/>
    <w:rsid w:val="00C535A5"/>
    <w:rsid w:val="00C5432A"/>
    <w:rsid w:val="00C54C05"/>
    <w:rsid w:val="00C554E8"/>
    <w:rsid w:val="00C55977"/>
    <w:rsid w:val="00C56AA6"/>
    <w:rsid w:val="00C5762A"/>
    <w:rsid w:val="00C5767F"/>
    <w:rsid w:val="00C60274"/>
    <w:rsid w:val="00C60856"/>
    <w:rsid w:val="00C61A4A"/>
    <w:rsid w:val="00C61DA7"/>
    <w:rsid w:val="00C6216B"/>
    <w:rsid w:val="00C64A32"/>
    <w:rsid w:val="00C70D4A"/>
    <w:rsid w:val="00C710BE"/>
    <w:rsid w:val="00C711F2"/>
    <w:rsid w:val="00C7120C"/>
    <w:rsid w:val="00C73195"/>
    <w:rsid w:val="00C74457"/>
    <w:rsid w:val="00C74BCD"/>
    <w:rsid w:val="00C769F1"/>
    <w:rsid w:val="00C77596"/>
    <w:rsid w:val="00C77A39"/>
    <w:rsid w:val="00C8058F"/>
    <w:rsid w:val="00C80906"/>
    <w:rsid w:val="00C82697"/>
    <w:rsid w:val="00C82C26"/>
    <w:rsid w:val="00C837A0"/>
    <w:rsid w:val="00C84264"/>
    <w:rsid w:val="00C84869"/>
    <w:rsid w:val="00C8495D"/>
    <w:rsid w:val="00C849CB"/>
    <w:rsid w:val="00C84C14"/>
    <w:rsid w:val="00C8596F"/>
    <w:rsid w:val="00C90047"/>
    <w:rsid w:val="00C9079F"/>
    <w:rsid w:val="00C9167A"/>
    <w:rsid w:val="00C91DCB"/>
    <w:rsid w:val="00C930F8"/>
    <w:rsid w:val="00C939DA"/>
    <w:rsid w:val="00C93B61"/>
    <w:rsid w:val="00C93EE3"/>
    <w:rsid w:val="00C9439F"/>
    <w:rsid w:val="00C943EB"/>
    <w:rsid w:val="00C94FA9"/>
    <w:rsid w:val="00C95DD0"/>
    <w:rsid w:val="00C960FC"/>
    <w:rsid w:val="00C96C5E"/>
    <w:rsid w:val="00C97DF9"/>
    <w:rsid w:val="00CA16D0"/>
    <w:rsid w:val="00CA21CA"/>
    <w:rsid w:val="00CA248E"/>
    <w:rsid w:val="00CA5D31"/>
    <w:rsid w:val="00CA6013"/>
    <w:rsid w:val="00CA6695"/>
    <w:rsid w:val="00CA68A6"/>
    <w:rsid w:val="00CA782A"/>
    <w:rsid w:val="00CA7FFA"/>
    <w:rsid w:val="00CB0669"/>
    <w:rsid w:val="00CB0E99"/>
    <w:rsid w:val="00CB18E1"/>
    <w:rsid w:val="00CB1F21"/>
    <w:rsid w:val="00CB2C9C"/>
    <w:rsid w:val="00CB403F"/>
    <w:rsid w:val="00CB56BB"/>
    <w:rsid w:val="00CB579A"/>
    <w:rsid w:val="00CB6008"/>
    <w:rsid w:val="00CB6930"/>
    <w:rsid w:val="00CB6AEE"/>
    <w:rsid w:val="00CB6CA6"/>
    <w:rsid w:val="00CB7877"/>
    <w:rsid w:val="00CC09E5"/>
    <w:rsid w:val="00CC0D9F"/>
    <w:rsid w:val="00CC4EC5"/>
    <w:rsid w:val="00CC7340"/>
    <w:rsid w:val="00CC73ED"/>
    <w:rsid w:val="00CD081F"/>
    <w:rsid w:val="00CD0B66"/>
    <w:rsid w:val="00CD23F7"/>
    <w:rsid w:val="00CD3059"/>
    <w:rsid w:val="00CD403B"/>
    <w:rsid w:val="00CD4EE7"/>
    <w:rsid w:val="00CD5EDA"/>
    <w:rsid w:val="00CD5F14"/>
    <w:rsid w:val="00CD65CC"/>
    <w:rsid w:val="00CE1550"/>
    <w:rsid w:val="00CE16B2"/>
    <w:rsid w:val="00CE17CF"/>
    <w:rsid w:val="00CE33AF"/>
    <w:rsid w:val="00CE3619"/>
    <w:rsid w:val="00CE4317"/>
    <w:rsid w:val="00CE542E"/>
    <w:rsid w:val="00CE724B"/>
    <w:rsid w:val="00CE73D8"/>
    <w:rsid w:val="00CE74FB"/>
    <w:rsid w:val="00CE793B"/>
    <w:rsid w:val="00CF01D8"/>
    <w:rsid w:val="00CF0F2D"/>
    <w:rsid w:val="00CF18AD"/>
    <w:rsid w:val="00CF27F0"/>
    <w:rsid w:val="00CF2F23"/>
    <w:rsid w:val="00CF4239"/>
    <w:rsid w:val="00CF4793"/>
    <w:rsid w:val="00CF4AEE"/>
    <w:rsid w:val="00CF63C9"/>
    <w:rsid w:val="00CF7009"/>
    <w:rsid w:val="00CF7A25"/>
    <w:rsid w:val="00CF7E6E"/>
    <w:rsid w:val="00D00817"/>
    <w:rsid w:val="00D00A30"/>
    <w:rsid w:val="00D04B97"/>
    <w:rsid w:val="00D051DB"/>
    <w:rsid w:val="00D054C5"/>
    <w:rsid w:val="00D054DE"/>
    <w:rsid w:val="00D05D85"/>
    <w:rsid w:val="00D06875"/>
    <w:rsid w:val="00D06A28"/>
    <w:rsid w:val="00D07B4B"/>
    <w:rsid w:val="00D10831"/>
    <w:rsid w:val="00D11A9A"/>
    <w:rsid w:val="00D11EA5"/>
    <w:rsid w:val="00D12E0E"/>
    <w:rsid w:val="00D138DF"/>
    <w:rsid w:val="00D14772"/>
    <w:rsid w:val="00D161AE"/>
    <w:rsid w:val="00D16E24"/>
    <w:rsid w:val="00D20841"/>
    <w:rsid w:val="00D20BB1"/>
    <w:rsid w:val="00D22DCF"/>
    <w:rsid w:val="00D23896"/>
    <w:rsid w:val="00D248F9"/>
    <w:rsid w:val="00D24E3B"/>
    <w:rsid w:val="00D256F0"/>
    <w:rsid w:val="00D30425"/>
    <w:rsid w:val="00D31F17"/>
    <w:rsid w:val="00D32484"/>
    <w:rsid w:val="00D32ED6"/>
    <w:rsid w:val="00D336FF"/>
    <w:rsid w:val="00D35DE1"/>
    <w:rsid w:val="00D364D7"/>
    <w:rsid w:val="00D3735A"/>
    <w:rsid w:val="00D405E4"/>
    <w:rsid w:val="00D4062F"/>
    <w:rsid w:val="00D41091"/>
    <w:rsid w:val="00D414C1"/>
    <w:rsid w:val="00D433D3"/>
    <w:rsid w:val="00D44357"/>
    <w:rsid w:val="00D46207"/>
    <w:rsid w:val="00D46638"/>
    <w:rsid w:val="00D5126B"/>
    <w:rsid w:val="00D51754"/>
    <w:rsid w:val="00D520F9"/>
    <w:rsid w:val="00D52446"/>
    <w:rsid w:val="00D52448"/>
    <w:rsid w:val="00D5288E"/>
    <w:rsid w:val="00D528A9"/>
    <w:rsid w:val="00D5467D"/>
    <w:rsid w:val="00D56C5E"/>
    <w:rsid w:val="00D57F6C"/>
    <w:rsid w:val="00D62687"/>
    <w:rsid w:val="00D6558A"/>
    <w:rsid w:val="00D66E66"/>
    <w:rsid w:val="00D73555"/>
    <w:rsid w:val="00D73F93"/>
    <w:rsid w:val="00D7771D"/>
    <w:rsid w:val="00D803AE"/>
    <w:rsid w:val="00D80FFA"/>
    <w:rsid w:val="00D82DA4"/>
    <w:rsid w:val="00D8533E"/>
    <w:rsid w:val="00D85ED9"/>
    <w:rsid w:val="00D90161"/>
    <w:rsid w:val="00D90211"/>
    <w:rsid w:val="00D904FF"/>
    <w:rsid w:val="00D905E5"/>
    <w:rsid w:val="00D90BE7"/>
    <w:rsid w:val="00D90D18"/>
    <w:rsid w:val="00D93760"/>
    <w:rsid w:val="00D93F96"/>
    <w:rsid w:val="00D94D99"/>
    <w:rsid w:val="00D95D07"/>
    <w:rsid w:val="00D95D4A"/>
    <w:rsid w:val="00DA0043"/>
    <w:rsid w:val="00DA116A"/>
    <w:rsid w:val="00DA288D"/>
    <w:rsid w:val="00DA29DE"/>
    <w:rsid w:val="00DA30ED"/>
    <w:rsid w:val="00DA3B25"/>
    <w:rsid w:val="00DA41CB"/>
    <w:rsid w:val="00DA4AEB"/>
    <w:rsid w:val="00DA584C"/>
    <w:rsid w:val="00DA7F96"/>
    <w:rsid w:val="00DB1FE6"/>
    <w:rsid w:val="00DB2ED0"/>
    <w:rsid w:val="00DB302D"/>
    <w:rsid w:val="00DB58F7"/>
    <w:rsid w:val="00DB5A2E"/>
    <w:rsid w:val="00DB6E3C"/>
    <w:rsid w:val="00DB6EF7"/>
    <w:rsid w:val="00DB7645"/>
    <w:rsid w:val="00DC10E7"/>
    <w:rsid w:val="00DC2CD3"/>
    <w:rsid w:val="00DC430B"/>
    <w:rsid w:val="00DC6FB0"/>
    <w:rsid w:val="00DD08AE"/>
    <w:rsid w:val="00DD1DD8"/>
    <w:rsid w:val="00DD2395"/>
    <w:rsid w:val="00DD2D87"/>
    <w:rsid w:val="00DD446A"/>
    <w:rsid w:val="00DD49C4"/>
    <w:rsid w:val="00DD4B32"/>
    <w:rsid w:val="00DD4B63"/>
    <w:rsid w:val="00DD5EBF"/>
    <w:rsid w:val="00DD76E6"/>
    <w:rsid w:val="00DE0D70"/>
    <w:rsid w:val="00DE1E8D"/>
    <w:rsid w:val="00DE2365"/>
    <w:rsid w:val="00DE371A"/>
    <w:rsid w:val="00DE4213"/>
    <w:rsid w:val="00DE43C6"/>
    <w:rsid w:val="00DE608B"/>
    <w:rsid w:val="00DF0E09"/>
    <w:rsid w:val="00DF10C9"/>
    <w:rsid w:val="00DF5F9F"/>
    <w:rsid w:val="00DF67EF"/>
    <w:rsid w:val="00DF6CD8"/>
    <w:rsid w:val="00DF7528"/>
    <w:rsid w:val="00DF7775"/>
    <w:rsid w:val="00E0009C"/>
    <w:rsid w:val="00E04C1C"/>
    <w:rsid w:val="00E05826"/>
    <w:rsid w:val="00E06184"/>
    <w:rsid w:val="00E06F75"/>
    <w:rsid w:val="00E11024"/>
    <w:rsid w:val="00E121BD"/>
    <w:rsid w:val="00E12586"/>
    <w:rsid w:val="00E1320F"/>
    <w:rsid w:val="00E14E57"/>
    <w:rsid w:val="00E16F57"/>
    <w:rsid w:val="00E20362"/>
    <w:rsid w:val="00E21347"/>
    <w:rsid w:val="00E21E02"/>
    <w:rsid w:val="00E227B4"/>
    <w:rsid w:val="00E2449A"/>
    <w:rsid w:val="00E24B95"/>
    <w:rsid w:val="00E27591"/>
    <w:rsid w:val="00E309F4"/>
    <w:rsid w:val="00E3133F"/>
    <w:rsid w:val="00E31D5A"/>
    <w:rsid w:val="00E327FC"/>
    <w:rsid w:val="00E335DF"/>
    <w:rsid w:val="00E3362C"/>
    <w:rsid w:val="00E34DC4"/>
    <w:rsid w:val="00E3557C"/>
    <w:rsid w:val="00E35C3C"/>
    <w:rsid w:val="00E4118B"/>
    <w:rsid w:val="00E42F02"/>
    <w:rsid w:val="00E43C0E"/>
    <w:rsid w:val="00E43C57"/>
    <w:rsid w:val="00E455C0"/>
    <w:rsid w:val="00E45A63"/>
    <w:rsid w:val="00E50985"/>
    <w:rsid w:val="00E509F0"/>
    <w:rsid w:val="00E50B03"/>
    <w:rsid w:val="00E51E5B"/>
    <w:rsid w:val="00E53191"/>
    <w:rsid w:val="00E53A94"/>
    <w:rsid w:val="00E53AEF"/>
    <w:rsid w:val="00E54108"/>
    <w:rsid w:val="00E54E80"/>
    <w:rsid w:val="00E55D98"/>
    <w:rsid w:val="00E55E5C"/>
    <w:rsid w:val="00E56385"/>
    <w:rsid w:val="00E57C16"/>
    <w:rsid w:val="00E632FF"/>
    <w:rsid w:val="00E6342E"/>
    <w:rsid w:val="00E65995"/>
    <w:rsid w:val="00E65C64"/>
    <w:rsid w:val="00E66498"/>
    <w:rsid w:val="00E71FEB"/>
    <w:rsid w:val="00E72239"/>
    <w:rsid w:val="00E72A31"/>
    <w:rsid w:val="00E72E36"/>
    <w:rsid w:val="00E736C5"/>
    <w:rsid w:val="00E74169"/>
    <w:rsid w:val="00E76B26"/>
    <w:rsid w:val="00E8007A"/>
    <w:rsid w:val="00E80691"/>
    <w:rsid w:val="00E80CAA"/>
    <w:rsid w:val="00E81881"/>
    <w:rsid w:val="00E83316"/>
    <w:rsid w:val="00E83C11"/>
    <w:rsid w:val="00E867C8"/>
    <w:rsid w:val="00E86C90"/>
    <w:rsid w:val="00E87B84"/>
    <w:rsid w:val="00E92763"/>
    <w:rsid w:val="00E933A2"/>
    <w:rsid w:val="00E938C5"/>
    <w:rsid w:val="00E94379"/>
    <w:rsid w:val="00E9612A"/>
    <w:rsid w:val="00E96872"/>
    <w:rsid w:val="00EA0927"/>
    <w:rsid w:val="00EA137D"/>
    <w:rsid w:val="00EA1E9E"/>
    <w:rsid w:val="00EA2D75"/>
    <w:rsid w:val="00EA3D9A"/>
    <w:rsid w:val="00EA418A"/>
    <w:rsid w:val="00EA46A9"/>
    <w:rsid w:val="00EA47A2"/>
    <w:rsid w:val="00EA5230"/>
    <w:rsid w:val="00EA7684"/>
    <w:rsid w:val="00EB2A31"/>
    <w:rsid w:val="00EB4456"/>
    <w:rsid w:val="00EB6654"/>
    <w:rsid w:val="00EB790A"/>
    <w:rsid w:val="00EB7CDA"/>
    <w:rsid w:val="00EC0AF9"/>
    <w:rsid w:val="00EC152B"/>
    <w:rsid w:val="00EC16C1"/>
    <w:rsid w:val="00EC367E"/>
    <w:rsid w:val="00EC3AFE"/>
    <w:rsid w:val="00EC4D2C"/>
    <w:rsid w:val="00EC5C7B"/>
    <w:rsid w:val="00EC6D2A"/>
    <w:rsid w:val="00EC7D6C"/>
    <w:rsid w:val="00ED1A6E"/>
    <w:rsid w:val="00ED248A"/>
    <w:rsid w:val="00ED2C4A"/>
    <w:rsid w:val="00ED36C2"/>
    <w:rsid w:val="00ED38ED"/>
    <w:rsid w:val="00ED39F7"/>
    <w:rsid w:val="00ED3FD3"/>
    <w:rsid w:val="00ED4FF4"/>
    <w:rsid w:val="00ED7487"/>
    <w:rsid w:val="00EE18FF"/>
    <w:rsid w:val="00EE1DB0"/>
    <w:rsid w:val="00EE1F16"/>
    <w:rsid w:val="00EE4039"/>
    <w:rsid w:val="00EE463C"/>
    <w:rsid w:val="00EE4A70"/>
    <w:rsid w:val="00EE5007"/>
    <w:rsid w:val="00EE59B7"/>
    <w:rsid w:val="00EE77D9"/>
    <w:rsid w:val="00EE7BF3"/>
    <w:rsid w:val="00EE7DFB"/>
    <w:rsid w:val="00EF0764"/>
    <w:rsid w:val="00EF2738"/>
    <w:rsid w:val="00EF2B1A"/>
    <w:rsid w:val="00EF3144"/>
    <w:rsid w:val="00EF3BEF"/>
    <w:rsid w:val="00EF436F"/>
    <w:rsid w:val="00EF556C"/>
    <w:rsid w:val="00EF62EB"/>
    <w:rsid w:val="00EF7015"/>
    <w:rsid w:val="00EF7C73"/>
    <w:rsid w:val="00F01954"/>
    <w:rsid w:val="00F01CE4"/>
    <w:rsid w:val="00F0494D"/>
    <w:rsid w:val="00F04B8A"/>
    <w:rsid w:val="00F04DA0"/>
    <w:rsid w:val="00F05538"/>
    <w:rsid w:val="00F05549"/>
    <w:rsid w:val="00F05CD9"/>
    <w:rsid w:val="00F07817"/>
    <w:rsid w:val="00F07BB7"/>
    <w:rsid w:val="00F1058B"/>
    <w:rsid w:val="00F11F07"/>
    <w:rsid w:val="00F150CF"/>
    <w:rsid w:val="00F20285"/>
    <w:rsid w:val="00F22BAC"/>
    <w:rsid w:val="00F22BDC"/>
    <w:rsid w:val="00F24E99"/>
    <w:rsid w:val="00F25FF8"/>
    <w:rsid w:val="00F260E2"/>
    <w:rsid w:val="00F26ECA"/>
    <w:rsid w:val="00F27FEC"/>
    <w:rsid w:val="00F3045F"/>
    <w:rsid w:val="00F30BCA"/>
    <w:rsid w:val="00F3121E"/>
    <w:rsid w:val="00F31230"/>
    <w:rsid w:val="00F317B2"/>
    <w:rsid w:val="00F334E5"/>
    <w:rsid w:val="00F337CB"/>
    <w:rsid w:val="00F34AC6"/>
    <w:rsid w:val="00F35781"/>
    <w:rsid w:val="00F36019"/>
    <w:rsid w:val="00F36275"/>
    <w:rsid w:val="00F36751"/>
    <w:rsid w:val="00F40024"/>
    <w:rsid w:val="00F4129D"/>
    <w:rsid w:val="00F435CC"/>
    <w:rsid w:val="00F43849"/>
    <w:rsid w:val="00F50231"/>
    <w:rsid w:val="00F50F29"/>
    <w:rsid w:val="00F52969"/>
    <w:rsid w:val="00F54063"/>
    <w:rsid w:val="00F54626"/>
    <w:rsid w:val="00F552B8"/>
    <w:rsid w:val="00F555EC"/>
    <w:rsid w:val="00F563C9"/>
    <w:rsid w:val="00F565A0"/>
    <w:rsid w:val="00F570FB"/>
    <w:rsid w:val="00F57D41"/>
    <w:rsid w:val="00F6033A"/>
    <w:rsid w:val="00F61FBD"/>
    <w:rsid w:val="00F6209E"/>
    <w:rsid w:val="00F6276D"/>
    <w:rsid w:val="00F6374D"/>
    <w:rsid w:val="00F63DA4"/>
    <w:rsid w:val="00F65A5A"/>
    <w:rsid w:val="00F65F1E"/>
    <w:rsid w:val="00F66041"/>
    <w:rsid w:val="00F668D2"/>
    <w:rsid w:val="00F66FF8"/>
    <w:rsid w:val="00F70D81"/>
    <w:rsid w:val="00F71F16"/>
    <w:rsid w:val="00F74F36"/>
    <w:rsid w:val="00F76529"/>
    <w:rsid w:val="00F76599"/>
    <w:rsid w:val="00F76691"/>
    <w:rsid w:val="00F77269"/>
    <w:rsid w:val="00F7756F"/>
    <w:rsid w:val="00F81158"/>
    <w:rsid w:val="00F81D2C"/>
    <w:rsid w:val="00F82A74"/>
    <w:rsid w:val="00F832D2"/>
    <w:rsid w:val="00F833A1"/>
    <w:rsid w:val="00F839A3"/>
    <w:rsid w:val="00F8622D"/>
    <w:rsid w:val="00F86421"/>
    <w:rsid w:val="00F86712"/>
    <w:rsid w:val="00F92131"/>
    <w:rsid w:val="00F930E9"/>
    <w:rsid w:val="00F95240"/>
    <w:rsid w:val="00F9601E"/>
    <w:rsid w:val="00F96F54"/>
    <w:rsid w:val="00F97345"/>
    <w:rsid w:val="00FA045C"/>
    <w:rsid w:val="00FA1A4D"/>
    <w:rsid w:val="00FA2FB6"/>
    <w:rsid w:val="00FA3570"/>
    <w:rsid w:val="00FA3632"/>
    <w:rsid w:val="00FA3899"/>
    <w:rsid w:val="00FA6A30"/>
    <w:rsid w:val="00FA7533"/>
    <w:rsid w:val="00FB081F"/>
    <w:rsid w:val="00FB097C"/>
    <w:rsid w:val="00FB1793"/>
    <w:rsid w:val="00FB19A2"/>
    <w:rsid w:val="00FB3C4B"/>
    <w:rsid w:val="00FB5410"/>
    <w:rsid w:val="00FB59C1"/>
    <w:rsid w:val="00FB5D16"/>
    <w:rsid w:val="00FB6674"/>
    <w:rsid w:val="00FB6F39"/>
    <w:rsid w:val="00FB7DDE"/>
    <w:rsid w:val="00FC094F"/>
    <w:rsid w:val="00FC2D12"/>
    <w:rsid w:val="00FC367F"/>
    <w:rsid w:val="00FC65B9"/>
    <w:rsid w:val="00FC69EA"/>
    <w:rsid w:val="00FD0F34"/>
    <w:rsid w:val="00FD23CB"/>
    <w:rsid w:val="00FD4B4B"/>
    <w:rsid w:val="00FD4FF8"/>
    <w:rsid w:val="00FD50E3"/>
    <w:rsid w:val="00FD5CC4"/>
    <w:rsid w:val="00FD6081"/>
    <w:rsid w:val="00FE4F8D"/>
    <w:rsid w:val="00FE592B"/>
    <w:rsid w:val="00FE657A"/>
    <w:rsid w:val="00FF0371"/>
    <w:rsid w:val="00FF0393"/>
    <w:rsid w:val="00FF042F"/>
    <w:rsid w:val="00FF19FE"/>
    <w:rsid w:val="00FF2F4D"/>
    <w:rsid w:val="00FF48D1"/>
    <w:rsid w:val="00FF6E4E"/>
    <w:rsid w:val="012B6B7C"/>
    <w:rsid w:val="01603413"/>
    <w:rsid w:val="01EB02FD"/>
    <w:rsid w:val="02380E83"/>
    <w:rsid w:val="02D97996"/>
    <w:rsid w:val="02E02D8D"/>
    <w:rsid w:val="02F53218"/>
    <w:rsid w:val="035937A7"/>
    <w:rsid w:val="0363544C"/>
    <w:rsid w:val="036A69C2"/>
    <w:rsid w:val="039316F0"/>
    <w:rsid w:val="03C70711"/>
    <w:rsid w:val="03E9653D"/>
    <w:rsid w:val="04080E64"/>
    <w:rsid w:val="043D6C25"/>
    <w:rsid w:val="04953876"/>
    <w:rsid w:val="04B0389B"/>
    <w:rsid w:val="04B62533"/>
    <w:rsid w:val="04D97D80"/>
    <w:rsid w:val="04F05A45"/>
    <w:rsid w:val="05185A7E"/>
    <w:rsid w:val="05327558"/>
    <w:rsid w:val="058F66C8"/>
    <w:rsid w:val="05DD06BF"/>
    <w:rsid w:val="05F0491C"/>
    <w:rsid w:val="065254DC"/>
    <w:rsid w:val="0657780D"/>
    <w:rsid w:val="06A64F4C"/>
    <w:rsid w:val="06AE5BB8"/>
    <w:rsid w:val="06D2787A"/>
    <w:rsid w:val="072145DC"/>
    <w:rsid w:val="07602F48"/>
    <w:rsid w:val="076745CB"/>
    <w:rsid w:val="077B6098"/>
    <w:rsid w:val="07B71C03"/>
    <w:rsid w:val="07DB0BC7"/>
    <w:rsid w:val="07FA6131"/>
    <w:rsid w:val="081300EC"/>
    <w:rsid w:val="08430D7E"/>
    <w:rsid w:val="087150EF"/>
    <w:rsid w:val="08972F2D"/>
    <w:rsid w:val="08D84D72"/>
    <w:rsid w:val="08DA16F7"/>
    <w:rsid w:val="08FD2E27"/>
    <w:rsid w:val="090E0B90"/>
    <w:rsid w:val="0922445A"/>
    <w:rsid w:val="094E3D69"/>
    <w:rsid w:val="096E7880"/>
    <w:rsid w:val="098A46BA"/>
    <w:rsid w:val="09B23D31"/>
    <w:rsid w:val="09CB59B5"/>
    <w:rsid w:val="09E5520B"/>
    <w:rsid w:val="09F3035E"/>
    <w:rsid w:val="0A3C70D8"/>
    <w:rsid w:val="0A7B1AE4"/>
    <w:rsid w:val="0A892BC4"/>
    <w:rsid w:val="0A9F4195"/>
    <w:rsid w:val="0AA01CBB"/>
    <w:rsid w:val="0AAD4DF5"/>
    <w:rsid w:val="0ADD58AC"/>
    <w:rsid w:val="0AE8247C"/>
    <w:rsid w:val="0B077F8D"/>
    <w:rsid w:val="0B195CD6"/>
    <w:rsid w:val="0B3537F3"/>
    <w:rsid w:val="0B387B40"/>
    <w:rsid w:val="0B472137"/>
    <w:rsid w:val="0B956BAF"/>
    <w:rsid w:val="0BD453E1"/>
    <w:rsid w:val="0C6D61F3"/>
    <w:rsid w:val="0C7C4062"/>
    <w:rsid w:val="0C880C59"/>
    <w:rsid w:val="0CB101B0"/>
    <w:rsid w:val="0CB96E47"/>
    <w:rsid w:val="0D4E6EF9"/>
    <w:rsid w:val="0DA675E9"/>
    <w:rsid w:val="0DAD4D8C"/>
    <w:rsid w:val="0DBD57A2"/>
    <w:rsid w:val="0EEF3211"/>
    <w:rsid w:val="0F0C59C1"/>
    <w:rsid w:val="0F195BEF"/>
    <w:rsid w:val="0F1D66E0"/>
    <w:rsid w:val="0F786D63"/>
    <w:rsid w:val="0F7F3D38"/>
    <w:rsid w:val="0FB60BCA"/>
    <w:rsid w:val="0FD76D1C"/>
    <w:rsid w:val="10545EAB"/>
    <w:rsid w:val="10B71B0D"/>
    <w:rsid w:val="10B774FC"/>
    <w:rsid w:val="10D206F5"/>
    <w:rsid w:val="10DB1C9F"/>
    <w:rsid w:val="10DB57FB"/>
    <w:rsid w:val="10EA7382"/>
    <w:rsid w:val="11276C93"/>
    <w:rsid w:val="11B33F50"/>
    <w:rsid w:val="11D30F31"/>
    <w:rsid w:val="11DF131B"/>
    <w:rsid w:val="12B547EE"/>
    <w:rsid w:val="12B551E3"/>
    <w:rsid w:val="12CB12F1"/>
    <w:rsid w:val="130628D8"/>
    <w:rsid w:val="136A10B9"/>
    <w:rsid w:val="136A67D5"/>
    <w:rsid w:val="137E0524"/>
    <w:rsid w:val="13F56BD4"/>
    <w:rsid w:val="14101C60"/>
    <w:rsid w:val="141A663B"/>
    <w:rsid w:val="147E7447"/>
    <w:rsid w:val="14A91246"/>
    <w:rsid w:val="14D317E3"/>
    <w:rsid w:val="14ED60A9"/>
    <w:rsid w:val="151C4634"/>
    <w:rsid w:val="152A2611"/>
    <w:rsid w:val="152A6D51"/>
    <w:rsid w:val="1578574E"/>
    <w:rsid w:val="15997A33"/>
    <w:rsid w:val="15A9032D"/>
    <w:rsid w:val="15AC7766"/>
    <w:rsid w:val="15B65F44"/>
    <w:rsid w:val="15E96C0C"/>
    <w:rsid w:val="16331C36"/>
    <w:rsid w:val="16526560"/>
    <w:rsid w:val="165651C7"/>
    <w:rsid w:val="167725EE"/>
    <w:rsid w:val="16A67A37"/>
    <w:rsid w:val="16B246CE"/>
    <w:rsid w:val="16B33F5F"/>
    <w:rsid w:val="16C77664"/>
    <w:rsid w:val="16E321B2"/>
    <w:rsid w:val="17147CB9"/>
    <w:rsid w:val="175346D5"/>
    <w:rsid w:val="17680005"/>
    <w:rsid w:val="176E31A1"/>
    <w:rsid w:val="1783099B"/>
    <w:rsid w:val="178A1D29"/>
    <w:rsid w:val="17AF9A0D"/>
    <w:rsid w:val="17B92B0F"/>
    <w:rsid w:val="17C1647B"/>
    <w:rsid w:val="180C0990"/>
    <w:rsid w:val="182201B4"/>
    <w:rsid w:val="182932F0"/>
    <w:rsid w:val="18371EB1"/>
    <w:rsid w:val="183A374F"/>
    <w:rsid w:val="189656F6"/>
    <w:rsid w:val="18AE7F67"/>
    <w:rsid w:val="18D374BD"/>
    <w:rsid w:val="191E6D2D"/>
    <w:rsid w:val="19410DAE"/>
    <w:rsid w:val="1949591C"/>
    <w:rsid w:val="19C05ED6"/>
    <w:rsid w:val="19D93C81"/>
    <w:rsid w:val="1A642D06"/>
    <w:rsid w:val="1A7828FB"/>
    <w:rsid w:val="1A890B66"/>
    <w:rsid w:val="1A9611D4"/>
    <w:rsid w:val="1AAE5D2F"/>
    <w:rsid w:val="1AF537F7"/>
    <w:rsid w:val="1B170FAB"/>
    <w:rsid w:val="1B2B3731"/>
    <w:rsid w:val="1B34092A"/>
    <w:rsid w:val="1B3A2F9D"/>
    <w:rsid w:val="1B447FAC"/>
    <w:rsid w:val="1B7E1BA5"/>
    <w:rsid w:val="1BB13D28"/>
    <w:rsid w:val="1BB47375"/>
    <w:rsid w:val="1BBC26CD"/>
    <w:rsid w:val="1BC27E9A"/>
    <w:rsid w:val="1BC77E99"/>
    <w:rsid w:val="1BCB46BE"/>
    <w:rsid w:val="1BE85270"/>
    <w:rsid w:val="1BFD6F6E"/>
    <w:rsid w:val="1C0A51E7"/>
    <w:rsid w:val="1C1B5646"/>
    <w:rsid w:val="1C1F5136"/>
    <w:rsid w:val="1C462D38"/>
    <w:rsid w:val="1C513BF3"/>
    <w:rsid w:val="1C534123"/>
    <w:rsid w:val="1C873BD4"/>
    <w:rsid w:val="1CB17C40"/>
    <w:rsid w:val="1CD154E4"/>
    <w:rsid w:val="1CDB194E"/>
    <w:rsid w:val="1CF332BF"/>
    <w:rsid w:val="1D1E1D0B"/>
    <w:rsid w:val="1DBA328E"/>
    <w:rsid w:val="1DE63BCF"/>
    <w:rsid w:val="1E1F64AE"/>
    <w:rsid w:val="1E362BFA"/>
    <w:rsid w:val="1E5835A5"/>
    <w:rsid w:val="1E8A22CA"/>
    <w:rsid w:val="1EE3243D"/>
    <w:rsid w:val="1EEB4B75"/>
    <w:rsid w:val="1F084A1A"/>
    <w:rsid w:val="1F641A50"/>
    <w:rsid w:val="1F672D9F"/>
    <w:rsid w:val="1FB77434"/>
    <w:rsid w:val="1FE3237C"/>
    <w:rsid w:val="1FE618BB"/>
    <w:rsid w:val="203647FC"/>
    <w:rsid w:val="203E7B55"/>
    <w:rsid w:val="20515ADA"/>
    <w:rsid w:val="208F1E39"/>
    <w:rsid w:val="208F6602"/>
    <w:rsid w:val="2099122F"/>
    <w:rsid w:val="210334DC"/>
    <w:rsid w:val="21924516"/>
    <w:rsid w:val="21AC5F65"/>
    <w:rsid w:val="221A419C"/>
    <w:rsid w:val="22617B2B"/>
    <w:rsid w:val="22845F59"/>
    <w:rsid w:val="22B15490"/>
    <w:rsid w:val="22D968BF"/>
    <w:rsid w:val="22F46D8D"/>
    <w:rsid w:val="230E7CB2"/>
    <w:rsid w:val="232E0A37"/>
    <w:rsid w:val="23653E9C"/>
    <w:rsid w:val="236553F7"/>
    <w:rsid w:val="236D3A6A"/>
    <w:rsid w:val="23892CA1"/>
    <w:rsid w:val="23902475"/>
    <w:rsid w:val="23DC56BB"/>
    <w:rsid w:val="23E17175"/>
    <w:rsid w:val="23F52BA2"/>
    <w:rsid w:val="24540228"/>
    <w:rsid w:val="247147CD"/>
    <w:rsid w:val="24724271"/>
    <w:rsid w:val="24743B45"/>
    <w:rsid w:val="249832E9"/>
    <w:rsid w:val="24E862E1"/>
    <w:rsid w:val="24E97601"/>
    <w:rsid w:val="24ED032F"/>
    <w:rsid w:val="24EF58C2"/>
    <w:rsid w:val="24F1163A"/>
    <w:rsid w:val="24F133E8"/>
    <w:rsid w:val="2544309E"/>
    <w:rsid w:val="254C248B"/>
    <w:rsid w:val="25530A40"/>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8C67243"/>
    <w:rsid w:val="29064F88"/>
    <w:rsid w:val="2927387C"/>
    <w:rsid w:val="29C46646"/>
    <w:rsid w:val="2A224BD5"/>
    <w:rsid w:val="2A366D59"/>
    <w:rsid w:val="2A6D4CBC"/>
    <w:rsid w:val="2AA16D73"/>
    <w:rsid w:val="2ABC6246"/>
    <w:rsid w:val="2AC87340"/>
    <w:rsid w:val="2B2D4A4E"/>
    <w:rsid w:val="2B2F07C6"/>
    <w:rsid w:val="2B46402A"/>
    <w:rsid w:val="2BAF2457"/>
    <w:rsid w:val="2BB025C0"/>
    <w:rsid w:val="2C35005E"/>
    <w:rsid w:val="2C6170A5"/>
    <w:rsid w:val="2C7F752B"/>
    <w:rsid w:val="2CA60ACC"/>
    <w:rsid w:val="2CD116A0"/>
    <w:rsid w:val="2CD21A78"/>
    <w:rsid w:val="2D23188C"/>
    <w:rsid w:val="2D48593B"/>
    <w:rsid w:val="2D556EEF"/>
    <w:rsid w:val="2D5C786C"/>
    <w:rsid w:val="2D8927EC"/>
    <w:rsid w:val="2D8C0151"/>
    <w:rsid w:val="2DF80464"/>
    <w:rsid w:val="2E5542E7"/>
    <w:rsid w:val="2E6433AC"/>
    <w:rsid w:val="2E8250B1"/>
    <w:rsid w:val="2E885707"/>
    <w:rsid w:val="2EA97119"/>
    <w:rsid w:val="2EC562E3"/>
    <w:rsid w:val="2EEA5D40"/>
    <w:rsid w:val="2F050B7B"/>
    <w:rsid w:val="2F224FF9"/>
    <w:rsid w:val="2F261EE0"/>
    <w:rsid w:val="2F4800A8"/>
    <w:rsid w:val="2F917CA1"/>
    <w:rsid w:val="2FA42A1A"/>
    <w:rsid w:val="2FAF0127"/>
    <w:rsid w:val="300D1B27"/>
    <w:rsid w:val="300F0BC6"/>
    <w:rsid w:val="3022139E"/>
    <w:rsid w:val="302D090A"/>
    <w:rsid w:val="30436D3A"/>
    <w:rsid w:val="308B2942"/>
    <w:rsid w:val="30DD6E91"/>
    <w:rsid w:val="30E713A2"/>
    <w:rsid w:val="31BC4F7C"/>
    <w:rsid w:val="31ED3189"/>
    <w:rsid w:val="31EE13DB"/>
    <w:rsid w:val="32012CE4"/>
    <w:rsid w:val="320A7CD9"/>
    <w:rsid w:val="320D56CD"/>
    <w:rsid w:val="32436903"/>
    <w:rsid w:val="32562ADC"/>
    <w:rsid w:val="3266176E"/>
    <w:rsid w:val="329C06E6"/>
    <w:rsid w:val="329C0DCE"/>
    <w:rsid w:val="32C52503"/>
    <w:rsid w:val="32E003C1"/>
    <w:rsid w:val="337A1A7B"/>
    <w:rsid w:val="33AD497E"/>
    <w:rsid w:val="33ED56C2"/>
    <w:rsid w:val="33F20F2A"/>
    <w:rsid w:val="33F619B6"/>
    <w:rsid w:val="340C326A"/>
    <w:rsid w:val="34192013"/>
    <w:rsid w:val="341B222F"/>
    <w:rsid w:val="342A2472"/>
    <w:rsid w:val="343472D5"/>
    <w:rsid w:val="34360E17"/>
    <w:rsid w:val="346E05B1"/>
    <w:rsid w:val="34D67F04"/>
    <w:rsid w:val="351B7857"/>
    <w:rsid w:val="3535727E"/>
    <w:rsid w:val="354C01C6"/>
    <w:rsid w:val="35563D07"/>
    <w:rsid w:val="356B276A"/>
    <w:rsid w:val="35960D13"/>
    <w:rsid w:val="35A11BE9"/>
    <w:rsid w:val="35A85D44"/>
    <w:rsid w:val="361F2128"/>
    <w:rsid w:val="364838BE"/>
    <w:rsid w:val="365437D6"/>
    <w:rsid w:val="36550CBE"/>
    <w:rsid w:val="3662256D"/>
    <w:rsid w:val="366D0916"/>
    <w:rsid w:val="36806379"/>
    <w:rsid w:val="36914759"/>
    <w:rsid w:val="36A02F73"/>
    <w:rsid w:val="36AF0F99"/>
    <w:rsid w:val="36B07108"/>
    <w:rsid w:val="37193A14"/>
    <w:rsid w:val="3733163E"/>
    <w:rsid w:val="376C68FE"/>
    <w:rsid w:val="377C60AD"/>
    <w:rsid w:val="37964539"/>
    <w:rsid w:val="379C3687"/>
    <w:rsid w:val="37A2637D"/>
    <w:rsid w:val="37B21ABE"/>
    <w:rsid w:val="37DE3C9F"/>
    <w:rsid w:val="38230246"/>
    <w:rsid w:val="3843318E"/>
    <w:rsid w:val="3870241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84B2A"/>
    <w:rsid w:val="3B4756B8"/>
    <w:rsid w:val="3B497B2D"/>
    <w:rsid w:val="3B6463E3"/>
    <w:rsid w:val="3B892174"/>
    <w:rsid w:val="3C5E53AF"/>
    <w:rsid w:val="3C836BC3"/>
    <w:rsid w:val="3C8D7774"/>
    <w:rsid w:val="3C9A2914"/>
    <w:rsid w:val="3CEC1456"/>
    <w:rsid w:val="3D687B67"/>
    <w:rsid w:val="3DA05553"/>
    <w:rsid w:val="3DAD7CE2"/>
    <w:rsid w:val="3DB72FC9"/>
    <w:rsid w:val="3DF213AE"/>
    <w:rsid w:val="3E09134A"/>
    <w:rsid w:val="3E0E6961"/>
    <w:rsid w:val="3E265A58"/>
    <w:rsid w:val="3E347550"/>
    <w:rsid w:val="3E757CDB"/>
    <w:rsid w:val="3E841BBD"/>
    <w:rsid w:val="3E853C97"/>
    <w:rsid w:val="3EBE3EE3"/>
    <w:rsid w:val="3EDF3E59"/>
    <w:rsid w:val="3F432EEB"/>
    <w:rsid w:val="3F95240E"/>
    <w:rsid w:val="3F9D604C"/>
    <w:rsid w:val="3FF43934"/>
    <w:rsid w:val="3FF658FE"/>
    <w:rsid w:val="406E1939"/>
    <w:rsid w:val="40750F19"/>
    <w:rsid w:val="40E02836"/>
    <w:rsid w:val="411F178B"/>
    <w:rsid w:val="414032D5"/>
    <w:rsid w:val="41720FB5"/>
    <w:rsid w:val="4185518C"/>
    <w:rsid w:val="41EA575B"/>
    <w:rsid w:val="41EE1F31"/>
    <w:rsid w:val="420E5181"/>
    <w:rsid w:val="42235B74"/>
    <w:rsid w:val="4235270E"/>
    <w:rsid w:val="42531447"/>
    <w:rsid w:val="427D4AC9"/>
    <w:rsid w:val="43370708"/>
    <w:rsid w:val="4375350A"/>
    <w:rsid w:val="43A24165"/>
    <w:rsid w:val="43C53F65"/>
    <w:rsid w:val="43D566E0"/>
    <w:rsid w:val="43E65767"/>
    <w:rsid w:val="43F16B09"/>
    <w:rsid w:val="444F55DD"/>
    <w:rsid w:val="445B0426"/>
    <w:rsid w:val="44637510"/>
    <w:rsid w:val="446E0B1C"/>
    <w:rsid w:val="449E4CDF"/>
    <w:rsid w:val="44A86E81"/>
    <w:rsid w:val="44AE66DE"/>
    <w:rsid w:val="44B042CE"/>
    <w:rsid w:val="453FF82C"/>
    <w:rsid w:val="454B049A"/>
    <w:rsid w:val="45692AE0"/>
    <w:rsid w:val="45C85BE6"/>
    <w:rsid w:val="45D3296A"/>
    <w:rsid w:val="45DB369B"/>
    <w:rsid w:val="46251AE9"/>
    <w:rsid w:val="46514A71"/>
    <w:rsid w:val="465D66D7"/>
    <w:rsid w:val="4678706D"/>
    <w:rsid w:val="46C44060"/>
    <w:rsid w:val="46E6047B"/>
    <w:rsid w:val="46FC7C9E"/>
    <w:rsid w:val="47190850"/>
    <w:rsid w:val="474E7CBF"/>
    <w:rsid w:val="47A8002A"/>
    <w:rsid w:val="47CA56A6"/>
    <w:rsid w:val="47F8776E"/>
    <w:rsid w:val="48254FD3"/>
    <w:rsid w:val="48345216"/>
    <w:rsid w:val="483671E0"/>
    <w:rsid w:val="48D36BED"/>
    <w:rsid w:val="490177EE"/>
    <w:rsid w:val="4903092C"/>
    <w:rsid w:val="49276B29"/>
    <w:rsid w:val="493F30F0"/>
    <w:rsid w:val="4944744E"/>
    <w:rsid w:val="49584F34"/>
    <w:rsid w:val="4976076E"/>
    <w:rsid w:val="49974C8E"/>
    <w:rsid w:val="499826D8"/>
    <w:rsid w:val="49D81328"/>
    <w:rsid w:val="4A853A58"/>
    <w:rsid w:val="4A8A736F"/>
    <w:rsid w:val="4ABA607F"/>
    <w:rsid w:val="4AC9433B"/>
    <w:rsid w:val="4B007631"/>
    <w:rsid w:val="4B0233A9"/>
    <w:rsid w:val="4B5A592C"/>
    <w:rsid w:val="4B640777"/>
    <w:rsid w:val="4B6C4CC7"/>
    <w:rsid w:val="4BF90C50"/>
    <w:rsid w:val="4C617011"/>
    <w:rsid w:val="4CA741D6"/>
    <w:rsid w:val="4CB42DC9"/>
    <w:rsid w:val="4CEB4E86"/>
    <w:rsid w:val="4CEC60BF"/>
    <w:rsid w:val="4CED7525"/>
    <w:rsid w:val="4D2C49BE"/>
    <w:rsid w:val="4DB50BA7"/>
    <w:rsid w:val="4DEB45C9"/>
    <w:rsid w:val="4E2027E8"/>
    <w:rsid w:val="4E4515AF"/>
    <w:rsid w:val="4E8011B5"/>
    <w:rsid w:val="4E9702AC"/>
    <w:rsid w:val="4EDE25CE"/>
    <w:rsid w:val="4EEE69FE"/>
    <w:rsid w:val="4EEF00E8"/>
    <w:rsid w:val="4F0A0A7E"/>
    <w:rsid w:val="4F3D60E1"/>
    <w:rsid w:val="4F713A65"/>
    <w:rsid w:val="4FC5766A"/>
    <w:rsid w:val="4FDA2B47"/>
    <w:rsid w:val="4FDA303C"/>
    <w:rsid w:val="4FF77255"/>
    <w:rsid w:val="4FF845BE"/>
    <w:rsid w:val="4FF86AB9"/>
    <w:rsid w:val="50463D38"/>
    <w:rsid w:val="504B7972"/>
    <w:rsid w:val="50854E71"/>
    <w:rsid w:val="50892D01"/>
    <w:rsid w:val="50AC0F2E"/>
    <w:rsid w:val="50D83683"/>
    <w:rsid w:val="51642518"/>
    <w:rsid w:val="516B614C"/>
    <w:rsid w:val="517B3EB5"/>
    <w:rsid w:val="51901536"/>
    <w:rsid w:val="51907961"/>
    <w:rsid w:val="51AA5232"/>
    <w:rsid w:val="51B55619"/>
    <w:rsid w:val="51DA3363"/>
    <w:rsid w:val="51F06651"/>
    <w:rsid w:val="528019E2"/>
    <w:rsid w:val="53193986"/>
    <w:rsid w:val="533E3B21"/>
    <w:rsid w:val="535074F7"/>
    <w:rsid w:val="535C5107"/>
    <w:rsid w:val="53735D8F"/>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D15107"/>
    <w:rsid w:val="56053B6E"/>
    <w:rsid w:val="563D5BDD"/>
    <w:rsid w:val="568A6A0D"/>
    <w:rsid w:val="56B73829"/>
    <w:rsid w:val="56DD0A24"/>
    <w:rsid w:val="56E73829"/>
    <w:rsid w:val="571921A6"/>
    <w:rsid w:val="57574A7D"/>
    <w:rsid w:val="57687170"/>
    <w:rsid w:val="57D8796C"/>
    <w:rsid w:val="57DF032C"/>
    <w:rsid w:val="57EE7818"/>
    <w:rsid w:val="58893C5B"/>
    <w:rsid w:val="58B872AC"/>
    <w:rsid w:val="592D3CE7"/>
    <w:rsid w:val="597015B0"/>
    <w:rsid w:val="597B2CA5"/>
    <w:rsid w:val="59B44408"/>
    <w:rsid w:val="59B5105D"/>
    <w:rsid w:val="59C12681"/>
    <w:rsid w:val="59C960F9"/>
    <w:rsid w:val="5A4234FD"/>
    <w:rsid w:val="5A822477"/>
    <w:rsid w:val="5A9B2ED2"/>
    <w:rsid w:val="5B2F6D4D"/>
    <w:rsid w:val="5BA24DDA"/>
    <w:rsid w:val="5BBB382C"/>
    <w:rsid w:val="5BD82630"/>
    <w:rsid w:val="5BDD6DC5"/>
    <w:rsid w:val="5BDEA1CC"/>
    <w:rsid w:val="5BE83126"/>
    <w:rsid w:val="5C2B7DD8"/>
    <w:rsid w:val="5C3C41E3"/>
    <w:rsid w:val="5C515F3F"/>
    <w:rsid w:val="5C9C39E6"/>
    <w:rsid w:val="5D0143E7"/>
    <w:rsid w:val="5D0C13A8"/>
    <w:rsid w:val="5D2D2894"/>
    <w:rsid w:val="5DAE3A4B"/>
    <w:rsid w:val="5DFD617B"/>
    <w:rsid w:val="5E1A67C6"/>
    <w:rsid w:val="5E4C2E61"/>
    <w:rsid w:val="5E52091F"/>
    <w:rsid w:val="5E6737F7"/>
    <w:rsid w:val="5E6960E0"/>
    <w:rsid w:val="5E7E6D47"/>
    <w:rsid w:val="5E8545C5"/>
    <w:rsid w:val="5E995D4C"/>
    <w:rsid w:val="5E9E63AF"/>
    <w:rsid w:val="5EBD03C1"/>
    <w:rsid w:val="5F033E46"/>
    <w:rsid w:val="5F0E0117"/>
    <w:rsid w:val="5F573144"/>
    <w:rsid w:val="5F5F37A8"/>
    <w:rsid w:val="5FAA2C24"/>
    <w:rsid w:val="5FAD0537"/>
    <w:rsid w:val="5FAF6327"/>
    <w:rsid w:val="5FBE67AD"/>
    <w:rsid w:val="5FEB336F"/>
    <w:rsid w:val="602A6F48"/>
    <w:rsid w:val="604F09E7"/>
    <w:rsid w:val="605F184E"/>
    <w:rsid w:val="60932FCA"/>
    <w:rsid w:val="60D86C2E"/>
    <w:rsid w:val="60DD209F"/>
    <w:rsid w:val="60DF00F1"/>
    <w:rsid w:val="60E23609"/>
    <w:rsid w:val="60FB291D"/>
    <w:rsid w:val="611D6D37"/>
    <w:rsid w:val="61325F34"/>
    <w:rsid w:val="614222FA"/>
    <w:rsid w:val="619743F4"/>
    <w:rsid w:val="61A53CD3"/>
    <w:rsid w:val="61A80C33"/>
    <w:rsid w:val="61D7228E"/>
    <w:rsid w:val="622B7B81"/>
    <w:rsid w:val="62347E94"/>
    <w:rsid w:val="6239213F"/>
    <w:rsid w:val="623954AB"/>
    <w:rsid w:val="62407F88"/>
    <w:rsid w:val="62B40FD5"/>
    <w:rsid w:val="62EE098B"/>
    <w:rsid w:val="62F13FD7"/>
    <w:rsid w:val="6322756F"/>
    <w:rsid w:val="632B705F"/>
    <w:rsid w:val="63585E05"/>
    <w:rsid w:val="63BA261B"/>
    <w:rsid w:val="64030466"/>
    <w:rsid w:val="642301C1"/>
    <w:rsid w:val="644D348F"/>
    <w:rsid w:val="6465512C"/>
    <w:rsid w:val="64727006"/>
    <w:rsid w:val="64A14BE6"/>
    <w:rsid w:val="64A5151D"/>
    <w:rsid w:val="64C00105"/>
    <w:rsid w:val="64E536C8"/>
    <w:rsid w:val="650E0E71"/>
    <w:rsid w:val="65243AF4"/>
    <w:rsid w:val="658000DA"/>
    <w:rsid w:val="65A32C1F"/>
    <w:rsid w:val="65A73073"/>
    <w:rsid w:val="65B95E42"/>
    <w:rsid w:val="65FF25D9"/>
    <w:rsid w:val="662B13FF"/>
    <w:rsid w:val="663A3EE7"/>
    <w:rsid w:val="66501EBE"/>
    <w:rsid w:val="66707909"/>
    <w:rsid w:val="6686630A"/>
    <w:rsid w:val="66B40374"/>
    <w:rsid w:val="66F67E0E"/>
    <w:rsid w:val="671D7A30"/>
    <w:rsid w:val="67283D40"/>
    <w:rsid w:val="67717495"/>
    <w:rsid w:val="67AB6E4B"/>
    <w:rsid w:val="682A7F13"/>
    <w:rsid w:val="68956111"/>
    <w:rsid w:val="68B8212F"/>
    <w:rsid w:val="68BF2482"/>
    <w:rsid w:val="68C03179"/>
    <w:rsid w:val="68FD198B"/>
    <w:rsid w:val="6953779A"/>
    <w:rsid w:val="696F2439"/>
    <w:rsid w:val="699B2D23"/>
    <w:rsid w:val="69A65094"/>
    <w:rsid w:val="69B10168"/>
    <w:rsid w:val="6A1B7C59"/>
    <w:rsid w:val="6A5A24AA"/>
    <w:rsid w:val="6A667059"/>
    <w:rsid w:val="6ABF27F8"/>
    <w:rsid w:val="6AD25197"/>
    <w:rsid w:val="6B2D01F4"/>
    <w:rsid w:val="6B9F6CC6"/>
    <w:rsid w:val="6BCD083B"/>
    <w:rsid w:val="6BDC57CB"/>
    <w:rsid w:val="6BFA214F"/>
    <w:rsid w:val="6C450EF0"/>
    <w:rsid w:val="6C6C6741"/>
    <w:rsid w:val="6C7478F0"/>
    <w:rsid w:val="6CBF4C0F"/>
    <w:rsid w:val="6CD01102"/>
    <w:rsid w:val="6CD17894"/>
    <w:rsid w:val="6CEA21C3"/>
    <w:rsid w:val="6D106E63"/>
    <w:rsid w:val="6D30203B"/>
    <w:rsid w:val="6D3C6797"/>
    <w:rsid w:val="6D401DE3"/>
    <w:rsid w:val="6D475FDD"/>
    <w:rsid w:val="6DBC51E2"/>
    <w:rsid w:val="6DCB6137"/>
    <w:rsid w:val="6DE11704"/>
    <w:rsid w:val="6E1B717E"/>
    <w:rsid w:val="6E810905"/>
    <w:rsid w:val="6EAE29D0"/>
    <w:rsid w:val="6EBD1212"/>
    <w:rsid w:val="6EEE3AC1"/>
    <w:rsid w:val="6F4510BD"/>
    <w:rsid w:val="6F7F1A62"/>
    <w:rsid w:val="6FA97229"/>
    <w:rsid w:val="6FB95E7D"/>
    <w:rsid w:val="6FE258A8"/>
    <w:rsid w:val="6FE934AB"/>
    <w:rsid w:val="6FED5D83"/>
    <w:rsid w:val="6FF46638"/>
    <w:rsid w:val="7012558D"/>
    <w:rsid w:val="702A0B29"/>
    <w:rsid w:val="702F1FD1"/>
    <w:rsid w:val="703564D1"/>
    <w:rsid w:val="70BB2636"/>
    <w:rsid w:val="70BC66FD"/>
    <w:rsid w:val="710D46D2"/>
    <w:rsid w:val="7115014E"/>
    <w:rsid w:val="71436554"/>
    <w:rsid w:val="716562BC"/>
    <w:rsid w:val="717B736E"/>
    <w:rsid w:val="717D31C3"/>
    <w:rsid w:val="71990602"/>
    <w:rsid w:val="71993C89"/>
    <w:rsid w:val="72017D09"/>
    <w:rsid w:val="720E29F2"/>
    <w:rsid w:val="725620A9"/>
    <w:rsid w:val="728F22A8"/>
    <w:rsid w:val="72B56D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A72ED3"/>
    <w:rsid w:val="76C467CF"/>
    <w:rsid w:val="76EB0CB5"/>
    <w:rsid w:val="772269FE"/>
    <w:rsid w:val="774D3385"/>
    <w:rsid w:val="776B5CAF"/>
    <w:rsid w:val="77AF903F"/>
    <w:rsid w:val="77D57D32"/>
    <w:rsid w:val="77E872FF"/>
    <w:rsid w:val="77F02797"/>
    <w:rsid w:val="78704EAC"/>
    <w:rsid w:val="78A21BA4"/>
    <w:rsid w:val="78A24874"/>
    <w:rsid w:val="790F19B1"/>
    <w:rsid w:val="794C38BE"/>
    <w:rsid w:val="79524BE5"/>
    <w:rsid w:val="79711576"/>
    <w:rsid w:val="797D2DDC"/>
    <w:rsid w:val="79A8399D"/>
    <w:rsid w:val="79BF22A0"/>
    <w:rsid w:val="79CA635D"/>
    <w:rsid w:val="79FA0EE1"/>
    <w:rsid w:val="7A396538"/>
    <w:rsid w:val="7A710F52"/>
    <w:rsid w:val="7A8C48BA"/>
    <w:rsid w:val="7A9A1131"/>
    <w:rsid w:val="7AAD1C06"/>
    <w:rsid w:val="7AB75A4A"/>
    <w:rsid w:val="7AF43B3F"/>
    <w:rsid w:val="7AFC4E4B"/>
    <w:rsid w:val="7AFE4246"/>
    <w:rsid w:val="7B0B43D0"/>
    <w:rsid w:val="7B0E5FA5"/>
    <w:rsid w:val="7B3311D9"/>
    <w:rsid w:val="7B86393A"/>
    <w:rsid w:val="7B9560A2"/>
    <w:rsid w:val="7B9F985B"/>
    <w:rsid w:val="7BC10593"/>
    <w:rsid w:val="7BE1344A"/>
    <w:rsid w:val="7C183F2B"/>
    <w:rsid w:val="7C237204"/>
    <w:rsid w:val="7C32323F"/>
    <w:rsid w:val="7C350F81"/>
    <w:rsid w:val="7C5E742B"/>
    <w:rsid w:val="7C7E0732"/>
    <w:rsid w:val="7C9149ED"/>
    <w:rsid w:val="7CC01849"/>
    <w:rsid w:val="7D2C4DA0"/>
    <w:rsid w:val="7D344EA2"/>
    <w:rsid w:val="7D3C46D8"/>
    <w:rsid w:val="7D99109C"/>
    <w:rsid w:val="7DA77C5D"/>
    <w:rsid w:val="7DC165FC"/>
    <w:rsid w:val="7DFFE606"/>
    <w:rsid w:val="7E1B78BF"/>
    <w:rsid w:val="7E374B3D"/>
    <w:rsid w:val="7E691F7C"/>
    <w:rsid w:val="7E7A243E"/>
    <w:rsid w:val="7E857F9E"/>
    <w:rsid w:val="7EB83283"/>
    <w:rsid w:val="7EDE2665"/>
    <w:rsid w:val="7F177DA3"/>
    <w:rsid w:val="7F2502C4"/>
    <w:rsid w:val="7F431AE6"/>
    <w:rsid w:val="7F4DF81E"/>
    <w:rsid w:val="7F664E77"/>
    <w:rsid w:val="7F6B7069"/>
    <w:rsid w:val="7F6C75AE"/>
    <w:rsid w:val="7FA25453"/>
    <w:rsid w:val="7FC91777"/>
    <w:rsid w:val="7FE74795"/>
    <w:rsid w:val="7FFB2ED4"/>
    <w:rsid w:val="7FFE1F92"/>
    <w:rsid w:val="7FFE8FA7"/>
    <w:rsid w:val="97FFC99F"/>
    <w:rsid w:val="AFEDBFC8"/>
    <w:rsid w:val="BBDC7165"/>
    <w:rsid w:val="BE7DEFD2"/>
    <w:rsid w:val="BFBBB2E1"/>
    <w:rsid w:val="CFFB6F73"/>
    <w:rsid w:val="D97C079F"/>
    <w:rsid w:val="DB76B258"/>
    <w:rsid w:val="DFFBE395"/>
    <w:rsid w:val="EC78D301"/>
    <w:rsid w:val="EF5FCC22"/>
    <w:rsid w:val="EF85D23E"/>
    <w:rsid w:val="F5777E44"/>
    <w:rsid w:val="F5FBEA20"/>
    <w:rsid w:val="F671F1B3"/>
    <w:rsid w:val="F797628A"/>
    <w:rsid w:val="F7E0A99C"/>
    <w:rsid w:val="F7EFADE3"/>
    <w:rsid w:val="F962FB6C"/>
    <w:rsid w:val="FB5A4047"/>
    <w:rsid w:val="FBFBED87"/>
    <w:rsid w:val="FCAE80D6"/>
    <w:rsid w:val="FDBF1F4C"/>
    <w:rsid w:val="FEDFAC2C"/>
    <w:rsid w:val="FF6F7E13"/>
    <w:rsid w:val="FFDCF7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name="table of authorities"/>
    <w:lsdException w:uiPriority="0" w:name="macro"/>
    <w:lsdException w:uiPriority="0" w:name="toa heading"/>
    <w:lsdException w:unhideWhenUsed="0" w:uiPriority="0" w:name="List"/>
    <w:lsdException w:unhideWhenUsed="0"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name="List Continue 2"/>
    <w:lsdException w:unhideWhenUsed="0" w:uiPriority="0" w:name="List Continue 3"/>
    <w:lsdException w:unhideWhenUsed="0" w:uiPriority="0" w:name="List Continue 4"/>
    <w:lsdException w:unhideWhenUsed="0"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99"/>
    <w:pPr>
      <w:ind w:firstLine="420" w:firstLineChars="200"/>
    </w:pPr>
  </w:style>
  <w:style w:type="paragraph" w:styleId="9">
    <w:name w:val="annotation text"/>
    <w:basedOn w:val="1"/>
    <w:link w:val="94"/>
    <w:qFormat/>
    <w:uiPriority w:val="0"/>
  </w:style>
  <w:style w:type="paragraph" w:styleId="10">
    <w:name w:val="Body Text"/>
    <w:basedOn w:val="1"/>
    <w:qFormat/>
    <w:uiPriority w:val="0"/>
    <w:pPr>
      <w:spacing w:after="120"/>
    </w:p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qFormat/>
    <w:uiPriority w:val="39"/>
    <w:pPr>
      <w:ind w:left="840" w:leftChars="400"/>
    </w:pPr>
  </w:style>
  <w:style w:type="paragraph" w:styleId="13">
    <w:name w:val="Plain Text"/>
    <w:basedOn w:val="1"/>
    <w:qFormat/>
    <w:uiPriority w:val="0"/>
    <w:rPr>
      <w:rFonts w:hAnsi="Courier New" w:cs="Courier New"/>
      <w:szCs w:val="21"/>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Balloon Text"/>
    <w:basedOn w:val="1"/>
    <w:link w:val="69"/>
    <w:qFormat/>
    <w:uiPriority w:val="0"/>
  </w:style>
  <w:style w:type="paragraph" w:styleId="16">
    <w:name w:val="footer"/>
    <w:basedOn w:val="1"/>
    <w:link w:val="102"/>
    <w:qFormat/>
    <w:uiPriority w:val="99"/>
    <w:pPr>
      <w:tabs>
        <w:tab w:val="center" w:pos="4153"/>
        <w:tab w:val="right" w:pos="8306"/>
      </w:tabs>
      <w:snapToGrid w:val="0"/>
      <w:jc w:val="right"/>
    </w:pPr>
  </w:style>
  <w:style w:type="paragraph" w:styleId="17">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8">
    <w:name w:val="toc 1"/>
    <w:basedOn w:val="1"/>
    <w:next w:val="1"/>
    <w:qFormat/>
    <w:uiPriority w:val="39"/>
    <w:pPr>
      <w:tabs>
        <w:tab w:val="right" w:leader="dot" w:pos="9242"/>
      </w:tabs>
    </w:pPr>
    <w:rPr>
      <w:rFonts w:asciiTheme="minorEastAsia" w:hAnsiTheme="minorEastAsia" w:eastAsiaTheme="minorEastAsia"/>
      <w:szCs w:val="21"/>
    </w:rPr>
  </w:style>
  <w:style w:type="paragraph" w:styleId="19">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0">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1">
    <w:name w:val="toc 2"/>
    <w:basedOn w:val="1"/>
    <w:next w:val="1"/>
    <w:unhideWhenUsed/>
    <w:qFormat/>
    <w:uiPriority w:val="39"/>
    <w:pPr>
      <w:widowControl/>
      <w:spacing w:after="100" w:line="259" w:lineRule="auto"/>
      <w:ind w:left="220"/>
    </w:pPr>
    <w:rPr>
      <w:rFonts w:asciiTheme="minorHAnsi" w:hAnsiTheme="minorHAnsi" w:eastAsiaTheme="minorEastAsia"/>
      <w:kern w:val="0"/>
      <w:sz w:val="22"/>
      <w:szCs w:val="22"/>
    </w:rPr>
  </w:style>
  <w:style w:type="paragraph" w:styleId="22">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3">
    <w:name w:val="Normal (Web)"/>
    <w:basedOn w:val="1"/>
    <w:qFormat/>
    <w:uiPriority w:val="0"/>
    <w:rPr>
      <w:sz w:val="24"/>
    </w:rPr>
  </w:style>
  <w:style w:type="paragraph" w:styleId="24">
    <w:name w:val="annotation subject"/>
    <w:basedOn w:val="9"/>
    <w:next w:val="9"/>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line="360" w:lineRule="exact"/>
      <w:ind w:firstLine="420" w:firstLineChars="200"/>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after="160"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numPr>
        <w:ilvl w:val="0"/>
        <w:numId w:val="1"/>
      </w:numPr>
      <w:spacing w:before="312" w:beforeLines="100" w:after="312" w:afterLines="100" w:line="360" w:lineRule="exact"/>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156" w:beforeLines="50" w:after="156" w:afterLines="50" w:line="360" w:lineRule="exact"/>
      <w:ind w:left="0"/>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asciiTheme="minorEastAsia" w:hAnsiTheme="minorEastAsia" w:eastAsiaTheme="minorEastAsia"/>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5"/>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rPr>
      <w:rFonts w:asciiTheme="minorHAnsi" w:hAnsiTheme="minorHAnsi" w:eastAsiaTheme="minorEastAsia" w:cstheme="minorBidi"/>
      <w:lang w:val="en-US" w:eastAsia="zh-CN" w:bidi="ar-SA"/>
    </w:rPr>
  </w:style>
  <w:style w:type="paragraph" w:customStyle="1" w:styleId="72">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pPr>
      <w:ind w:left="142"/>
    </w:pPr>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sz w:val="21"/>
    </w:rPr>
  </w:style>
  <w:style w:type="paragraph" w:customStyle="1" w:styleId="9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9"/>
    <w:qFormat/>
    <w:uiPriority w:val="0"/>
    <w:rPr>
      <w:kern w:val="2"/>
      <w:sz w:val="21"/>
      <w:szCs w:val="24"/>
    </w:rPr>
  </w:style>
  <w:style w:type="paragraph" w:customStyle="1" w:styleId="95">
    <w:name w:val="修订5"/>
    <w:hidden/>
    <w:semiHidden/>
    <w:qFormat/>
    <w:uiPriority w:val="99"/>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6"/>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Lines="50"/>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Lines="50"/>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rPr>
      <w:rFonts w:ascii="Times New Roman" w:hAnsi="Times New Roman" w:eastAsia="宋体" w:cs="Times New Roman"/>
      <w:kern w:val="2"/>
      <w:sz w:val="21"/>
      <w:szCs w:val="24"/>
      <w:lang w:val="en-US" w:eastAsia="zh-CN" w:bidi="ar-SA"/>
    </w:rPr>
  </w:style>
  <w:style w:type="character" w:customStyle="1" w:styleId="111">
    <w:name w:val="页眉 字符"/>
    <w:basedOn w:val="27"/>
    <w:link w:val="17"/>
    <w:qFormat/>
    <w:uiPriority w:val="99"/>
    <w:rPr>
      <w:rFonts w:ascii="黑体" w:hAnsi="黑体" w:eastAsia="黑体"/>
      <w:kern w:val="2"/>
      <w:sz w:val="21"/>
      <w:szCs w:val="21"/>
    </w:rPr>
  </w:style>
  <w:style w:type="paragraph" w:customStyle="1" w:styleId="112">
    <w:name w:val="修订8"/>
    <w:hidden/>
    <w:unhideWhenUsed/>
    <w:qFormat/>
    <w:uiPriority w:val="99"/>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基准页眉样式"/>
    <w:basedOn w:val="10"/>
    <w:qFormat/>
    <w:uiPriority w:val="0"/>
    <w:pPr>
      <w:spacing w:line="312" w:lineRule="auto"/>
    </w:pPr>
    <w:rPr>
      <w:rFonts w:cs="宋体"/>
      <w:spacing w:val="-4"/>
      <w:sz w:val="21"/>
      <w:szCs w:val="21"/>
    </w:rPr>
  </w:style>
  <w:style w:type="table" w:customStyle="1" w:styleId="118">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19">
    <w:name w:val="修订10"/>
    <w:hidden/>
    <w:semiHidden/>
    <w:qFormat/>
    <w:uiPriority w:val="99"/>
    <w:rPr>
      <w:rFonts w:ascii="宋体" w:hAnsi="宋体" w:eastAsia="宋体" w:cs="Times New Roman"/>
      <w:kern w:val="2"/>
      <w:sz w:val="18"/>
      <w:szCs w:val="18"/>
      <w:lang w:val="en-US" w:eastAsia="zh-CN" w:bidi="ar-SA"/>
    </w:rPr>
  </w:style>
  <w:style w:type="paragraph" w:customStyle="1" w:styleId="120">
    <w:name w:val="修订11"/>
    <w:hidden/>
    <w:semiHidden/>
    <w:qFormat/>
    <w:uiPriority w:val="99"/>
    <w:rPr>
      <w:rFonts w:ascii="宋体" w:hAnsi="宋体" w:eastAsia="宋体" w:cs="Times New Roman"/>
      <w:kern w:val="2"/>
      <w:sz w:val="18"/>
      <w:szCs w:val="18"/>
      <w:lang w:val="en-US" w:eastAsia="zh-CN" w:bidi="ar-SA"/>
    </w:rPr>
  </w:style>
  <w:style w:type="paragraph" w:customStyle="1" w:styleId="121">
    <w:name w:val="Revision"/>
    <w:hidden/>
    <w:semiHidden/>
    <w:qFormat/>
    <w:uiPriority w:val="99"/>
    <w:rPr>
      <w:rFonts w:ascii="宋体" w:hAnsi="宋体" w:eastAsia="宋体" w:cs="Times New Roman"/>
      <w:kern w:val="2"/>
      <w:sz w:val="18"/>
      <w:szCs w:val="18"/>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microsoft.com/office/2006/relationships/keyMapCustomizations" Target="customizations.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2F6DF2-2582-42AE-B019-C5E928C843E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2327</Words>
  <Characters>2526</Characters>
  <Lines>49</Lines>
  <Paragraphs>13</Paragraphs>
  <TotalTime>0</TotalTime>
  <ScaleCrop>false</ScaleCrop>
  <LinksUpToDate>false</LinksUpToDate>
  <CharactersWithSpaces>2640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2025-06-06T11:14:00Z</dcterms:created>
  <dc:creator>妙手空空</dc:creator>
  <cp:lastModifiedBy>封立琪</cp:lastModifiedBy>
  <cp:lastPrinted>2025-03-11T07:41:00Z</cp:lastPrinted>
  <dcterms:modified xsi:type="dcterms:W3CDTF">2025-11-07T01:02:07Z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967C45021B1E448EA7BC3F33886AC56F_13</vt:lpwstr>
  </property>
  <property fmtid="{D5CDD505-2E9C-101B-9397-08002B2CF9AE}" pid="4" name="KSOTemplateDocerSaveRecord">
    <vt:lpwstr>eyJoZGlkIjoiNGEzZTg0MTRlY2JlODJmOTQ2Y2NhNGM3NmZhMTFlOGIiLCJ1c2VySWQiOiI0NDI4MTIyMjgifQ==</vt:lpwstr>
  </property>
</Properties>
</file>